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B6A62">
      <w:pPr>
        <w:pStyle w:val="2"/>
        <w:spacing w:before="0" w:beforeAutospacing="0" w:after="0" w:afterAutospacing="0"/>
        <w:ind w:left="280" w:hanging="280" w:hangingChars="100"/>
        <w:jc w:val="center"/>
        <w:rPr>
          <w:rFonts w:ascii="微软雅黑" w:hAnsi="微软雅黑" w:eastAsia="微软雅黑" w:cs="微软雅黑"/>
          <w:b/>
          <w:kern w:val="2"/>
          <w:sz w:val="28"/>
          <w:szCs w:val="28"/>
          <w:shd w:val="clear" w:color="auto" w:fill="FFFFFF"/>
        </w:rPr>
      </w:pPr>
      <w:r>
        <w:rPr>
          <w:rFonts w:hint="eastAsia" w:ascii="微软雅黑" w:hAnsi="微软雅黑" w:eastAsia="微软雅黑" w:cs="微软雅黑"/>
          <w:b/>
          <w:kern w:val="2"/>
          <w:sz w:val="28"/>
          <w:szCs w:val="28"/>
          <w:shd w:val="clear" w:color="auto" w:fill="FFFFFF"/>
        </w:rPr>
        <w:t>廊道焕活商脉，景观重构城境——现代公园城市建设与城市更新一体化考察</w:t>
      </w:r>
    </w:p>
    <w:p w14:paraId="21C0257C">
      <w:pPr>
        <w:pStyle w:val="2"/>
        <w:spacing w:before="0" w:beforeAutospacing="0" w:after="0" w:afterAutospacing="0"/>
        <w:ind w:left="240" w:hanging="240" w:hangingChars="100"/>
        <w:jc w:val="center"/>
        <w:rPr>
          <w:rFonts w:ascii="微软雅黑" w:hAnsi="微软雅黑" w:eastAsia="微软雅黑" w:cs="微软雅黑"/>
          <w:b/>
          <w:bCs/>
          <w:color w:val="000000"/>
        </w:rPr>
      </w:pPr>
      <w:r>
        <w:rPr>
          <w:rFonts w:hint="eastAsia" w:ascii="微软雅黑" w:hAnsi="微软雅黑" w:eastAsia="微软雅黑" w:cs="微软雅黑"/>
          <w:b/>
          <w:bCs/>
          <w:color w:val="000000"/>
        </w:rPr>
        <w:t>地址；杭州      时间；2025年</w:t>
      </w:r>
      <w:r>
        <w:rPr>
          <w:rFonts w:hint="eastAsia" w:ascii="微软雅黑" w:hAnsi="微软雅黑" w:eastAsia="微软雅黑" w:cs="微软雅黑"/>
          <w:b/>
          <w:bCs/>
          <w:color w:val="000000"/>
          <w:lang w:val="en-US" w:eastAsia="zh-CN"/>
        </w:rPr>
        <w:t>11</w:t>
      </w:r>
      <w:r>
        <w:rPr>
          <w:rFonts w:hint="eastAsia" w:ascii="微软雅黑" w:hAnsi="微软雅黑" w:eastAsia="微软雅黑" w:cs="微软雅黑"/>
          <w:b/>
          <w:bCs/>
          <w:color w:val="000000"/>
        </w:rPr>
        <w:t>月2</w:t>
      </w:r>
      <w:r>
        <w:rPr>
          <w:rFonts w:hint="eastAsia" w:ascii="微软雅黑" w:hAnsi="微软雅黑" w:eastAsia="微软雅黑" w:cs="微软雅黑"/>
          <w:b/>
          <w:bCs/>
          <w:color w:val="000000"/>
          <w:lang w:val="en-US" w:eastAsia="zh-CN"/>
        </w:rPr>
        <w:t>2</w:t>
      </w:r>
      <w:r>
        <w:rPr>
          <w:rFonts w:hint="eastAsia" w:ascii="微软雅黑" w:hAnsi="微软雅黑" w:eastAsia="微软雅黑" w:cs="微软雅黑"/>
          <w:b/>
          <w:bCs/>
          <w:color w:val="000000"/>
        </w:rPr>
        <w:t>-2</w:t>
      </w:r>
      <w:r>
        <w:rPr>
          <w:rFonts w:hint="eastAsia" w:ascii="微软雅黑" w:hAnsi="微软雅黑" w:eastAsia="微软雅黑" w:cs="微软雅黑"/>
          <w:b/>
          <w:bCs/>
          <w:color w:val="000000"/>
          <w:lang w:val="en-US" w:eastAsia="zh-CN"/>
        </w:rPr>
        <w:t>3</w:t>
      </w:r>
      <w:r>
        <w:rPr>
          <w:rFonts w:hint="eastAsia" w:ascii="微软雅黑" w:hAnsi="微软雅黑" w:eastAsia="微软雅黑" w:cs="微软雅黑"/>
          <w:b/>
          <w:bCs/>
          <w:color w:val="000000"/>
        </w:rPr>
        <w:t>日</w:t>
      </w:r>
    </w:p>
    <w:p w14:paraId="08F590EB">
      <w:pPr>
        <w:pStyle w:val="2"/>
        <w:spacing w:before="0" w:beforeAutospacing="0" w:after="0" w:afterAutospacing="0"/>
        <w:ind w:left="280" w:hanging="280" w:hangingChars="100"/>
        <w:jc w:val="center"/>
        <w:rPr>
          <w:rFonts w:ascii="微软雅黑" w:hAnsi="微软雅黑" w:eastAsia="微软雅黑" w:cs="微软雅黑"/>
          <w:b/>
          <w:bCs/>
          <w:color w:val="000000"/>
          <w:sz w:val="28"/>
          <w:szCs w:val="28"/>
        </w:rPr>
      </w:pPr>
    </w:p>
    <w:p w14:paraId="72F67E17">
      <w:pPr>
        <w:spacing w:line="520" w:lineRule="exact"/>
        <w:jc w:val="center"/>
        <w:rPr>
          <w:rFonts w:ascii="微软雅黑" w:hAnsi="微软雅黑" w:eastAsia="微软雅黑" w:cs="微软雅黑"/>
          <w:b/>
          <w:bCs/>
          <w:sz w:val="44"/>
          <w:szCs w:val="44"/>
        </w:rPr>
      </w:pPr>
      <w:r>
        <w:rPr>
          <w:rFonts w:hint="eastAsia" w:ascii="微软雅黑" w:hAnsi="微软雅黑" w:eastAsia="微软雅黑" w:cs="微软雅黑"/>
          <w:b/>
          <w:bCs/>
          <w:sz w:val="44"/>
          <w:szCs w:val="44"/>
        </w:rPr>
        <w:t>活动简介</w:t>
      </w:r>
    </w:p>
    <w:p w14:paraId="705423CA">
      <w:pPr>
        <w:jc w:val="center"/>
        <w:rPr>
          <w:rFonts w:ascii="微软雅黑" w:hAnsi="微软雅黑" w:eastAsia="微软雅黑" w:cs="微软雅黑"/>
          <w:b/>
          <w:sz w:val="28"/>
          <w:szCs w:val="28"/>
          <w:shd w:val="clear" w:color="auto" w:fill="FFFFFF"/>
        </w:rPr>
      </w:pPr>
      <w:r>
        <w:rPr>
          <w:rFonts w:hint="eastAsia" w:ascii="微软雅黑" w:hAnsi="微软雅黑" w:eastAsia="微软雅黑" w:cs="微软雅黑"/>
          <w:b/>
          <w:sz w:val="28"/>
          <w:szCs w:val="28"/>
          <w:shd w:val="clear" w:color="auto" w:fill="FFFFFF"/>
        </w:rPr>
        <w:t>考察背景与目的</w:t>
      </w:r>
    </w:p>
    <w:p w14:paraId="55F85549">
      <w:pPr>
        <w:jc w:val="left"/>
        <w:rPr>
          <w:rFonts w:ascii="微软雅黑" w:hAnsi="微软雅黑" w:eastAsia="微软雅黑" w:cs="微软雅黑"/>
          <w:b/>
          <w:bCs/>
          <w:color w:val="000000"/>
          <w:kern w:val="0"/>
          <w:szCs w:val="21"/>
        </w:rPr>
      </w:pPr>
      <w:r>
        <w:rPr>
          <w:rFonts w:hint="eastAsia" w:ascii="微软雅黑" w:hAnsi="微软雅黑" w:eastAsia="微软雅黑" w:cs="微软雅黑"/>
          <w:sz w:val="24"/>
          <w:szCs w:val="24"/>
          <w:shd w:val="clear" w:color="auto" w:fill="FFFFFF"/>
        </w:rPr>
        <w:t>在城市化进程加速与存量更新时代背景下，传统城市空间面临生态割裂、商业活力衰退、文化记忆消逝等挑战。国家“公园城市”建设理念的提出，为重塑“人、城、境、业”和谐关系提供了新范式。本次考察以“廊道焕活商脉，景观重构城境”为核心命题，聚焦生态廊道、公园场景、商业空间三大载体，通过实地探访国内外标杆项目，深度解析如何以景观设计为纽带，实现生态修复、产业升级与文化传承的协同发展，为城市管理者、设计师与开发商提供从空间营建逻辑到商业模式创新的系统性解决方案。</w:t>
      </w:r>
      <w:r>
        <w:rPr>
          <w:rFonts w:hint="eastAsia" w:ascii="微软雅黑" w:hAnsi="微软雅黑" w:eastAsia="微软雅黑" w:cs="微软雅黑"/>
          <w:b/>
          <w:bCs/>
          <w:color w:val="000000"/>
          <w:kern w:val="0"/>
          <w:szCs w:val="21"/>
        </w:rPr>
        <w:t xml:space="preserve">   </w:t>
      </w:r>
    </w:p>
    <w:p w14:paraId="7CA992DF">
      <w:pPr>
        <w:jc w:val="left"/>
        <w:rPr>
          <w:rFonts w:ascii="微软雅黑" w:hAnsi="微软雅黑" w:eastAsia="微软雅黑" w:cs="微软雅黑"/>
          <w:sz w:val="24"/>
          <w:szCs w:val="24"/>
          <w:shd w:val="clear" w:color="auto" w:fill="FFFFFF"/>
        </w:rPr>
      </w:pPr>
      <w:r>
        <w:rPr>
          <w:rFonts w:hint="eastAsia" w:ascii="微软雅黑" w:hAnsi="微软雅黑" w:eastAsia="微软雅黑" w:cs="微软雅黑"/>
          <w:sz w:val="24"/>
          <w:szCs w:val="24"/>
          <w:shd w:val="clear" w:color="auto" w:fill="FFFFFF"/>
        </w:rPr>
        <w:t>考察核心亮点</w:t>
      </w:r>
    </w:p>
    <w:p w14:paraId="2738437C">
      <w:pPr>
        <w:jc w:val="left"/>
        <w:rPr>
          <w:rFonts w:ascii="微软雅黑" w:hAnsi="微软雅黑" w:eastAsia="微软雅黑" w:cs="微软雅黑"/>
          <w:sz w:val="24"/>
          <w:szCs w:val="24"/>
          <w:shd w:val="clear" w:color="auto" w:fill="FFFFFF"/>
        </w:rPr>
      </w:pPr>
      <w:r>
        <w:rPr>
          <w:rFonts w:hint="eastAsia" w:ascii="微软雅黑" w:hAnsi="微软雅黑" w:eastAsia="微软雅黑" w:cs="微软雅黑"/>
          <w:sz w:val="24"/>
          <w:szCs w:val="24"/>
          <w:shd w:val="clear" w:color="auto" w:fill="FFFFFF"/>
        </w:rPr>
        <w:t>1. “生态廊道的韧性公式”</w:t>
      </w:r>
    </w:p>
    <w:p w14:paraId="0E1E7DDC">
      <w:pPr>
        <w:jc w:val="left"/>
        <w:rPr>
          <w:rFonts w:ascii="微软雅黑" w:hAnsi="微软雅黑" w:eastAsia="微软雅黑" w:cs="微软雅黑"/>
          <w:sz w:val="24"/>
          <w:szCs w:val="24"/>
          <w:shd w:val="clear" w:color="auto" w:fill="FFFFFF"/>
        </w:rPr>
      </w:pPr>
      <w:r>
        <w:rPr>
          <w:rFonts w:ascii="微软雅黑" w:hAnsi="微软雅黑" w:eastAsia="微软雅黑" w:cs="微软雅黑"/>
          <w:sz w:val="24"/>
          <w:szCs w:val="24"/>
          <w:shd w:val="clear" w:color="auto" w:fill="FFFFFF"/>
        </w:rPr>
        <w:t xml:space="preserve">   </w:t>
      </w:r>
      <w:r>
        <w:rPr>
          <w:rFonts w:hint="eastAsia" w:ascii="微软雅黑" w:hAnsi="微软雅黑" w:eastAsia="微软雅黑" w:cs="微软雅黑"/>
          <w:sz w:val="24"/>
          <w:szCs w:val="24"/>
          <w:shd w:val="clear" w:color="auto" w:fill="FFFFFF"/>
        </w:rPr>
        <w:t>▸</w:t>
      </w:r>
      <w:r>
        <w:rPr>
          <w:rFonts w:ascii="微软雅黑" w:hAnsi="微软雅黑" w:eastAsia="微软雅黑" w:cs="微软雅黑"/>
          <w:sz w:val="24"/>
          <w:szCs w:val="24"/>
          <w:shd w:val="clear" w:color="auto" w:fill="FFFFFF"/>
        </w:rPr>
        <w:t xml:space="preserve"> </w:t>
      </w:r>
      <w:r>
        <w:rPr>
          <w:rFonts w:hint="eastAsia" w:ascii="微软雅黑" w:hAnsi="微软雅黑" w:eastAsia="微软雅黑" w:cs="微软雅黑"/>
          <w:sz w:val="24"/>
          <w:szCs w:val="24"/>
          <w:shd w:val="clear" w:color="auto" w:fill="FFFFFF"/>
        </w:rPr>
        <w:t>解码线性空间的</w:t>
      </w:r>
      <w:r>
        <w:rPr>
          <w:rFonts w:ascii="微软雅黑" w:hAnsi="微软雅黑" w:eastAsia="微软雅黑" w:cs="微软雅黑"/>
          <w:sz w:val="24"/>
          <w:szCs w:val="24"/>
          <w:shd w:val="clear" w:color="auto" w:fill="FFFFFF"/>
        </w:rPr>
        <w:t>**</w:t>
      </w:r>
      <w:r>
        <w:rPr>
          <w:rFonts w:hint="eastAsia" w:ascii="微软雅黑" w:hAnsi="微软雅黑" w:eastAsia="微软雅黑" w:cs="微软雅黑"/>
          <w:sz w:val="24"/>
          <w:szCs w:val="24"/>
          <w:shd w:val="clear" w:color="auto" w:fill="FFFFFF"/>
        </w:rPr>
        <w:t>雨洪管理剖面构造与本土植物群落算法，掌握“最小干预”实现生态修复与游憩功能的共生设计。</w:t>
      </w:r>
      <w:r>
        <w:rPr>
          <w:rFonts w:ascii="微软雅黑" w:hAnsi="微软雅黑" w:eastAsia="微软雅黑" w:cs="微软雅黑"/>
          <w:sz w:val="24"/>
          <w:szCs w:val="24"/>
          <w:shd w:val="clear" w:color="auto" w:fill="FFFFFF"/>
        </w:rPr>
        <w:t xml:space="preserve">  </w:t>
      </w:r>
    </w:p>
    <w:p w14:paraId="1485890C">
      <w:pPr>
        <w:jc w:val="left"/>
        <w:rPr>
          <w:rFonts w:ascii="微软雅黑" w:hAnsi="微软雅黑" w:eastAsia="微软雅黑" w:cs="微软雅黑"/>
          <w:sz w:val="24"/>
          <w:szCs w:val="24"/>
          <w:shd w:val="clear" w:color="auto" w:fill="FFFFFF"/>
        </w:rPr>
      </w:pPr>
      <w:r>
        <w:rPr>
          <w:rFonts w:hint="eastAsia" w:ascii="微软雅黑" w:hAnsi="微软雅黑" w:eastAsia="微软雅黑" w:cs="微软雅黑"/>
          <w:sz w:val="24"/>
          <w:szCs w:val="24"/>
          <w:shd w:val="clear" w:color="auto" w:fill="FFFFFF"/>
        </w:rPr>
        <w:t xml:space="preserve">2. “废墟重生的设计语法” </w:t>
      </w:r>
    </w:p>
    <w:p w14:paraId="5D71CC11">
      <w:pPr>
        <w:jc w:val="left"/>
        <w:rPr>
          <w:rFonts w:ascii="微软雅黑" w:hAnsi="微软雅黑" w:eastAsia="微软雅黑" w:cs="微软雅黑"/>
          <w:sz w:val="24"/>
          <w:szCs w:val="24"/>
          <w:shd w:val="clear" w:color="auto" w:fill="FFFFFF"/>
        </w:rPr>
      </w:pPr>
      <w:r>
        <w:rPr>
          <w:rFonts w:ascii="微软雅黑" w:hAnsi="微软雅黑" w:eastAsia="微软雅黑" w:cs="微软雅黑"/>
          <w:sz w:val="24"/>
          <w:szCs w:val="24"/>
          <w:shd w:val="clear" w:color="auto" w:fill="FFFFFF"/>
        </w:rPr>
        <w:t xml:space="preserve">   </w:t>
      </w:r>
      <w:r>
        <w:rPr>
          <w:rFonts w:hint="eastAsia" w:ascii="微软雅黑" w:hAnsi="微软雅黑" w:eastAsia="微软雅黑" w:cs="微软雅黑"/>
          <w:sz w:val="24"/>
          <w:szCs w:val="24"/>
          <w:shd w:val="clear" w:color="auto" w:fill="FFFFFF"/>
        </w:rPr>
        <w:t>▸</w:t>
      </w:r>
      <w:r>
        <w:rPr>
          <w:rFonts w:ascii="微软雅黑" w:hAnsi="微软雅黑" w:eastAsia="微软雅黑" w:cs="微软雅黑"/>
          <w:sz w:val="24"/>
          <w:szCs w:val="24"/>
          <w:shd w:val="clear" w:color="auto" w:fill="FFFFFF"/>
        </w:rPr>
        <w:t xml:space="preserve"> </w:t>
      </w:r>
      <w:r>
        <w:rPr>
          <w:rFonts w:hint="eastAsia" w:ascii="微软雅黑" w:hAnsi="微软雅黑" w:eastAsia="微软雅黑" w:cs="微软雅黑"/>
          <w:sz w:val="24"/>
          <w:szCs w:val="24"/>
          <w:shd w:val="clear" w:color="auto" w:fill="FFFFFF"/>
        </w:rPr>
        <w:t>拆解工业遗址改造中的记忆地景转译术：从锈蚀钢板参数化拼接到轨道肌理再生，重构历史废墟的空间叙事逻辑。</w:t>
      </w:r>
      <w:r>
        <w:rPr>
          <w:rFonts w:ascii="微软雅黑" w:hAnsi="微软雅黑" w:eastAsia="微软雅黑" w:cs="微软雅黑"/>
          <w:sz w:val="24"/>
          <w:szCs w:val="24"/>
          <w:shd w:val="clear" w:color="auto" w:fill="FFFFFF"/>
        </w:rPr>
        <w:t xml:space="preserve">  </w:t>
      </w:r>
    </w:p>
    <w:p w14:paraId="650EF996">
      <w:pPr>
        <w:jc w:val="left"/>
        <w:rPr>
          <w:rFonts w:ascii="微软雅黑" w:hAnsi="微软雅黑" w:eastAsia="微软雅黑" w:cs="微软雅黑"/>
          <w:sz w:val="24"/>
          <w:szCs w:val="24"/>
          <w:shd w:val="clear" w:color="auto" w:fill="FFFFFF"/>
        </w:rPr>
      </w:pPr>
      <w:r>
        <w:rPr>
          <w:rFonts w:hint="eastAsia" w:ascii="微软雅黑" w:hAnsi="微软雅黑" w:eastAsia="微软雅黑" w:cs="微软雅黑"/>
          <w:sz w:val="24"/>
          <w:szCs w:val="24"/>
          <w:shd w:val="clear" w:color="auto" w:fill="FFFFFF"/>
        </w:rPr>
        <w:t xml:space="preserve">3. “商业与自然的界面革命” </w:t>
      </w:r>
    </w:p>
    <w:p w14:paraId="52900965">
      <w:pPr>
        <w:jc w:val="left"/>
        <w:rPr>
          <w:rFonts w:ascii="微软雅黑" w:hAnsi="微软雅黑" w:eastAsia="微软雅黑" w:cs="微软雅黑"/>
          <w:sz w:val="24"/>
          <w:szCs w:val="24"/>
          <w:shd w:val="clear" w:color="auto" w:fill="FFFFFF"/>
        </w:rPr>
      </w:pPr>
      <w:r>
        <w:rPr>
          <w:rFonts w:ascii="微软雅黑" w:hAnsi="微软雅黑" w:eastAsia="微软雅黑" w:cs="微软雅黑"/>
          <w:sz w:val="24"/>
          <w:szCs w:val="24"/>
          <w:shd w:val="clear" w:color="auto" w:fill="FFFFFF"/>
        </w:rPr>
        <w:t xml:space="preserve">   </w:t>
      </w:r>
      <w:r>
        <w:rPr>
          <w:rFonts w:hint="eastAsia" w:ascii="微软雅黑" w:hAnsi="微软雅黑" w:eastAsia="微软雅黑" w:cs="微软雅黑"/>
          <w:sz w:val="24"/>
          <w:szCs w:val="24"/>
          <w:shd w:val="clear" w:color="auto" w:fill="FFFFFF"/>
        </w:rPr>
        <w:t>▸</w:t>
      </w:r>
      <w:r>
        <w:rPr>
          <w:rFonts w:ascii="微软雅黑" w:hAnsi="微软雅黑" w:eastAsia="微软雅黑" w:cs="微软雅黑"/>
          <w:sz w:val="24"/>
          <w:szCs w:val="24"/>
          <w:shd w:val="clear" w:color="auto" w:fill="FFFFFF"/>
        </w:rPr>
        <w:t xml:space="preserve"> </w:t>
      </w:r>
      <w:r>
        <w:rPr>
          <w:rFonts w:hint="eastAsia" w:ascii="微软雅黑" w:hAnsi="微软雅黑" w:eastAsia="微软雅黑" w:cs="微软雅黑"/>
          <w:sz w:val="24"/>
          <w:szCs w:val="24"/>
          <w:shd w:val="clear" w:color="auto" w:fill="FFFFFF"/>
        </w:rPr>
        <w:t>破解立体绿化系统技术密码：覆土建筑荷载优化、垂直绿墙模块化灌溉、消费动线与生态渗透的黄金配比法则。</w:t>
      </w:r>
      <w:r>
        <w:rPr>
          <w:rFonts w:ascii="微软雅黑" w:hAnsi="微软雅黑" w:eastAsia="微软雅黑" w:cs="微软雅黑"/>
          <w:sz w:val="24"/>
          <w:szCs w:val="24"/>
          <w:shd w:val="clear" w:color="auto" w:fill="FFFFFF"/>
        </w:rPr>
        <w:t xml:space="preserve">  </w:t>
      </w:r>
    </w:p>
    <w:p w14:paraId="1F071656">
      <w:pPr>
        <w:jc w:val="left"/>
        <w:rPr>
          <w:rFonts w:ascii="微软雅黑" w:hAnsi="微软雅黑" w:eastAsia="微软雅黑" w:cs="微软雅黑"/>
          <w:sz w:val="24"/>
          <w:szCs w:val="24"/>
          <w:shd w:val="clear" w:color="auto" w:fill="FFFFFF"/>
        </w:rPr>
      </w:pPr>
      <w:r>
        <w:rPr>
          <w:rFonts w:hint="eastAsia" w:ascii="微软雅黑" w:hAnsi="微软雅黑" w:eastAsia="微软雅黑" w:cs="微软雅黑"/>
          <w:sz w:val="24"/>
          <w:szCs w:val="24"/>
          <w:shd w:val="clear" w:color="auto" w:fill="FFFFFF"/>
        </w:rPr>
        <w:t>4. “植物作为空间导演”</w:t>
      </w:r>
    </w:p>
    <w:p w14:paraId="28903CE1">
      <w:pPr>
        <w:jc w:val="left"/>
        <w:rPr>
          <w:rFonts w:ascii="微软雅黑" w:hAnsi="微软雅黑" w:eastAsia="微软雅黑" w:cs="微软雅黑"/>
          <w:sz w:val="24"/>
          <w:szCs w:val="24"/>
          <w:shd w:val="clear" w:color="auto" w:fill="FFFFFF"/>
        </w:rPr>
      </w:pPr>
      <w:r>
        <w:rPr>
          <w:rFonts w:ascii="微软雅黑" w:hAnsi="微软雅黑" w:eastAsia="微软雅黑" w:cs="微软雅黑"/>
          <w:sz w:val="24"/>
          <w:szCs w:val="24"/>
          <w:shd w:val="clear" w:color="auto" w:fill="FFFFFF"/>
        </w:rPr>
        <w:t xml:space="preserve">   </w:t>
      </w:r>
      <w:r>
        <w:rPr>
          <w:rFonts w:hint="eastAsia" w:ascii="微软雅黑" w:hAnsi="微软雅黑" w:eastAsia="微软雅黑" w:cs="微软雅黑"/>
          <w:sz w:val="24"/>
          <w:szCs w:val="24"/>
          <w:shd w:val="clear" w:color="auto" w:fill="FFFFFF"/>
        </w:rPr>
        <w:t>▸</w:t>
      </w:r>
      <w:r>
        <w:rPr>
          <w:rFonts w:ascii="微软雅黑" w:hAnsi="微软雅黑" w:eastAsia="微软雅黑" w:cs="微软雅黑"/>
          <w:sz w:val="24"/>
          <w:szCs w:val="24"/>
          <w:shd w:val="clear" w:color="auto" w:fill="FFFFFF"/>
        </w:rPr>
        <w:t xml:space="preserve"> </w:t>
      </w:r>
      <w:r>
        <w:rPr>
          <w:rFonts w:hint="eastAsia" w:ascii="微软雅黑" w:hAnsi="微软雅黑" w:eastAsia="微软雅黑" w:cs="微软雅黑"/>
          <w:sz w:val="24"/>
          <w:szCs w:val="24"/>
          <w:shd w:val="clear" w:color="auto" w:fill="FFFFFF"/>
        </w:rPr>
        <w:t>掌握</w:t>
      </w:r>
      <w:r>
        <w:rPr>
          <w:rFonts w:ascii="微软雅黑" w:hAnsi="微软雅黑" w:eastAsia="微软雅黑" w:cs="微软雅黑"/>
          <w:sz w:val="24"/>
          <w:szCs w:val="24"/>
          <w:shd w:val="clear" w:color="auto" w:fill="FFFFFF"/>
        </w:rPr>
        <w:t>**</w:t>
      </w:r>
      <w:r>
        <w:rPr>
          <w:rFonts w:hint="eastAsia" w:ascii="微软雅黑" w:hAnsi="微软雅黑" w:eastAsia="微软雅黑" w:cs="微软雅黑"/>
          <w:sz w:val="24"/>
          <w:szCs w:val="24"/>
          <w:shd w:val="clear" w:color="auto" w:fill="FFFFFF"/>
        </w:rPr>
        <w:t>速生乔木骨架</w:t>
      </w:r>
      <w:r>
        <w:rPr>
          <w:rFonts w:ascii="微软雅黑" w:hAnsi="微软雅黑" w:eastAsia="微软雅黑" w:cs="微软雅黑"/>
          <w:sz w:val="24"/>
          <w:szCs w:val="24"/>
          <w:shd w:val="clear" w:color="auto" w:fill="FFFFFF"/>
        </w:rPr>
        <w:t>+</w:t>
      </w:r>
      <w:r>
        <w:rPr>
          <w:rFonts w:hint="eastAsia" w:ascii="微软雅黑" w:hAnsi="微软雅黑" w:eastAsia="微软雅黑" w:cs="微软雅黑"/>
          <w:sz w:val="24"/>
          <w:szCs w:val="24"/>
          <w:shd w:val="clear" w:color="auto" w:fill="FFFFFF"/>
        </w:rPr>
        <w:t>地被季相拼图</w:t>
      </w:r>
      <w:r>
        <w:rPr>
          <w:rFonts w:ascii="微软雅黑" w:hAnsi="微软雅黑" w:eastAsia="微软雅黑" w:cs="微软雅黑"/>
          <w:sz w:val="24"/>
          <w:szCs w:val="24"/>
          <w:shd w:val="clear" w:color="auto" w:fill="FFFFFF"/>
        </w:rPr>
        <w:t>**</w:t>
      </w:r>
      <w:r>
        <w:rPr>
          <w:rFonts w:hint="eastAsia" w:ascii="微软雅黑" w:hAnsi="微软雅黑" w:eastAsia="微软雅黑" w:cs="微软雅黑"/>
          <w:sz w:val="24"/>
          <w:szCs w:val="24"/>
          <w:shd w:val="clear" w:color="auto" w:fill="FFFFFF"/>
        </w:rPr>
        <w:t>的造景公式，用植物群落重构空间尺度与情绪剧本。</w:t>
      </w:r>
      <w:r>
        <w:rPr>
          <w:rFonts w:ascii="微软雅黑" w:hAnsi="微软雅黑" w:eastAsia="微软雅黑" w:cs="微软雅黑"/>
          <w:sz w:val="24"/>
          <w:szCs w:val="24"/>
          <w:shd w:val="clear" w:color="auto" w:fill="FFFFFF"/>
        </w:rPr>
        <w:t xml:space="preserve">  </w:t>
      </w:r>
    </w:p>
    <w:p w14:paraId="652E1DBE">
      <w:pPr>
        <w:jc w:val="left"/>
        <w:rPr>
          <w:rFonts w:ascii="微软雅黑" w:hAnsi="微软雅黑" w:eastAsia="微软雅黑" w:cs="微软雅黑"/>
          <w:sz w:val="24"/>
          <w:szCs w:val="24"/>
          <w:shd w:val="clear" w:color="auto" w:fill="FFFFFF"/>
        </w:rPr>
      </w:pPr>
      <w:r>
        <w:rPr>
          <w:rFonts w:hint="eastAsia" w:ascii="微软雅黑" w:hAnsi="微软雅黑" w:eastAsia="微软雅黑" w:cs="微软雅黑"/>
          <w:sz w:val="24"/>
          <w:szCs w:val="24"/>
          <w:shd w:val="clear" w:color="auto" w:fill="FFFFFF"/>
        </w:rPr>
        <w:t xml:space="preserve">5. “数字景观工具链实战” </w:t>
      </w:r>
    </w:p>
    <w:p w14:paraId="73D41977">
      <w:pPr>
        <w:jc w:val="left"/>
        <w:rPr>
          <w:rFonts w:ascii="微软雅黑" w:hAnsi="微软雅黑" w:eastAsia="微软雅黑" w:cs="微软雅黑"/>
          <w:sz w:val="24"/>
          <w:szCs w:val="24"/>
          <w:shd w:val="clear" w:color="auto" w:fill="FFFFFF"/>
        </w:rPr>
      </w:pPr>
      <w:r>
        <w:rPr>
          <w:rFonts w:ascii="微软雅黑" w:hAnsi="微软雅黑" w:eastAsia="微软雅黑" w:cs="微软雅黑"/>
          <w:sz w:val="24"/>
          <w:szCs w:val="24"/>
          <w:shd w:val="clear" w:color="auto" w:fill="FFFFFF"/>
        </w:rPr>
        <w:t xml:space="preserve">   </w:t>
      </w:r>
      <w:r>
        <w:rPr>
          <w:rFonts w:hint="eastAsia" w:ascii="微软雅黑" w:hAnsi="微软雅黑" w:eastAsia="微软雅黑" w:cs="微软雅黑"/>
          <w:sz w:val="24"/>
          <w:szCs w:val="24"/>
          <w:shd w:val="clear" w:color="auto" w:fill="FFFFFF"/>
        </w:rPr>
        <w:t>▸</w:t>
      </w:r>
      <w:r>
        <w:rPr>
          <w:rFonts w:ascii="微软雅黑" w:hAnsi="微软雅黑" w:eastAsia="微软雅黑" w:cs="微软雅黑"/>
          <w:sz w:val="24"/>
          <w:szCs w:val="24"/>
          <w:shd w:val="clear" w:color="auto" w:fill="FFFFFF"/>
        </w:rPr>
        <w:t xml:space="preserve"> </w:t>
      </w:r>
      <w:r>
        <w:rPr>
          <w:rFonts w:hint="eastAsia" w:ascii="微软雅黑" w:hAnsi="微软雅黑" w:eastAsia="微软雅黑" w:cs="微软雅黑"/>
          <w:sz w:val="24"/>
          <w:szCs w:val="24"/>
          <w:shd w:val="clear" w:color="auto" w:fill="FFFFFF"/>
        </w:rPr>
        <w:t>直击</w:t>
      </w:r>
      <w:r>
        <w:rPr>
          <w:rFonts w:ascii="微软雅黑" w:hAnsi="微软雅黑" w:eastAsia="微软雅黑" w:cs="微软雅黑"/>
          <w:sz w:val="24"/>
          <w:szCs w:val="24"/>
          <w:shd w:val="clear" w:color="auto" w:fill="FFFFFF"/>
        </w:rPr>
        <w:t>GIS</w:t>
      </w:r>
      <w:r>
        <w:rPr>
          <w:rFonts w:hint="eastAsia" w:ascii="微软雅黑" w:hAnsi="微软雅黑" w:eastAsia="微软雅黑" w:cs="微软雅黑"/>
          <w:sz w:val="24"/>
          <w:szCs w:val="24"/>
          <w:shd w:val="clear" w:color="auto" w:fill="FFFFFF"/>
        </w:rPr>
        <w:t>地形分析×人流热力模拟×植物渲染器的协同工作流，建立数据驱动的</w:t>
      </w:r>
      <w:r>
        <w:rPr>
          <w:rFonts w:ascii="微软雅黑" w:hAnsi="微软雅黑" w:eastAsia="微软雅黑" w:cs="微软雅黑"/>
          <w:sz w:val="24"/>
          <w:szCs w:val="24"/>
          <w:shd w:val="clear" w:color="auto" w:fill="FFFFFF"/>
        </w:rPr>
        <w:t>**</w:t>
      </w:r>
      <w:r>
        <w:rPr>
          <w:rFonts w:hint="eastAsia" w:ascii="微软雅黑" w:hAnsi="微软雅黑" w:eastAsia="微软雅黑" w:cs="微软雅黑"/>
          <w:sz w:val="24"/>
          <w:szCs w:val="24"/>
          <w:shd w:val="clear" w:color="auto" w:fill="FFFFFF"/>
        </w:rPr>
        <w:t>空间生成</w:t>
      </w:r>
      <w:r>
        <w:rPr>
          <w:rFonts w:ascii="微软雅黑" w:hAnsi="微软雅黑" w:eastAsia="微软雅黑" w:cs="微软雅黑"/>
          <w:sz w:val="24"/>
          <w:szCs w:val="24"/>
          <w:shd w:val="clear" w:color="auto" w:fill="FFFFFF"/>
        </w:rPr>
        <w:t>-</w:t>
      </w:r>
      <w:r>
        <w:rPr>
          <w:rFonts w:hint="eastAsia" w:ascii="微软雅黑" w:hAnsi="微软雅黑" w:eastAsia="微软雅黑" w:cs="微软雅黑"/>
          <w:sz w:val="24"/>
          <w:szCs w:val="24"/>
          <w:shd w:val="clear" w:color="auto" w:fill="FFFFFF"/>
        </w:rPr>
        <w:t>验证</w:t>
      </w:r>
      <w:r>
        <w:rPr>
          <w:rFonts w:ascii="微软雅黑" w:hAnsi="微软雅黑" w:eastAsia="微软雅黑" w:cs="微软雅黑"/>
          <w:sz w:val="24"/>
          <w:szCs w:val="24"/>
          <w:shd w:val="clear" w:color="auto" w:fill="FFFFFF"/>
        </w:rPr>
        <w:t>-</w:t>
      </w:r>
      <w:r>
        <w:rPr>
          <w:rFonts w:hint="eastAsia" w:ascii="微软雅黑" w:hAnsi="微软雅黑" w:eastAsia="微软雅黑" w:cs="微软雅黑"/>
          <w:sz w:val="24"/>
          <w:szCs w:val="24"/>
          <w:shd w:val="clear" w:color="auto" w:fill="FFFFFF"/>
        </w:rPr>
        <w:t>迭代闭环。</w:t>
      </w:r>
      <w:r>
        <w:rPr>
          <w:rFonts w:ascii="微软雅黑" w:hAnsi="微软雅黑" w:eastAsia="微软雅黑" w:cs="微软雅黑"/>
          <w:sz w:val="24"/>
          <w:szCs w:val="24"/>
          <w:shd w:val="clear" w:color="auto" w:fill="FFFFFF"/>
        </w:rPr>
        <w:t xml:space="preserve">  </w:t>
      </w:r>
    </w:p>
    <w:p w14:paraId="395916AE">
      <w:pPr>
        <w:spacing w:line="520" w:lineRule="exact"/>
        <w:rPr>
          <w:rFonts w:ascii="微软雅黑" w:hAnsi="微软雅黑" w:eastAsia="微软雅黑" w:cs="微软雅黑"/>
          <w:b/>
          <w:bCs/>
          <w:color w:val="000000"/>
          <w:kern w:val="0"/>
          <w:szCs w:val="21"/>
        </w:rPr>
      </w:pPr>
    </w:p>
    <w:p w14:paraId="1D51B635">
      <w:pPr>
        <w:spacing w:line="520" w:lineRule="exact"/>
        <w:jc w:val="center"/>
        <w:rPr>
          <w:rFonts w:ascii="微软雅黑" w:hAnsi="微软雅黑" w:eastAsia="微软雅黑" w:cs="微软雅黑"/>
          <w:b/>
          <w:bCs/>
          <w:color w:val="000000"/>
          <w:kern w:val="0"/>
          <w:sz w:val="28"/>
          <w:szCs w:val="28"/>
        </w:rPr>
      </w:pPr>
      <w:r>
        <w:rPr>
          <w:rFonts w:hint="eastAsia" w:ascii="微软雅黑" w:hAnsi="微软雅黑" w:eastAsia="微软雅黑" w:cs="微软雅黑"/>
          <w:b/>
          <w:bCs/>
          <w:color w:val="000000"/>
          <w:kern w:val="0"/>
          <w:sz w:val="28"/>
          <w:szCs w:val="28"/>
        </w:rPr>
        <w:t>【行程安排】</w:t>
      </w:r>
    </w:p>
    <w:tbl>
      <w:tblPr>
        <w:tblStyle w:val="3"/>
        <w:tblpPr w:leftFromText="180" w:rightFromText="180" w:vertAnchor="text" w:horzAnchor="page" w:tblpX="1665" w:tblpY="1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113"/>
        <w:gridCol w:w="6367"/>
      </w:tblGrid>
      <w:tr w14:paraId="6283F4FA">
        <w:tblPrEx>
          <w:tblCellMar>
            <w:top w:w="0" w:type="dxa"/>
            <w:left w:w="108" w:type="dxa"/>
            <w:bottom w:w="0" w:type="dxa"/>
            <w:right w:w="108" w:type="dxa"/>
          </w:tblCellMar>
        </w:tblPrEx>
        <w:trPr>
          <w:trHeight w:val="824" w:hRule="atLeast"/>
        </w:trPr>
        <w:tc>
          <w:tcPr>
            <w:tcW w:w="1851" w:type="dxa"/>
            <w:vMerge w:val="restart"/>
            <w:vAlign w:val="center"/>
          </w:tcPr>
          <w:p w14:paraId="35C86B5A">
            <w:pPr>
              <w:spacing w:line="360" w:lineRule="exact"/>
              <w:jc w:val="center"/>
              <w:rPr>
                <w:rFonts w:ascii="微软雅黑" w:hAnsi="微软雅黑" w:eastAsia="微软雅黑" w:cs="微软雅黑"/>
                <w:spacing w:val="8"/>
                <w:sz w:val="24"/>
                <w:szCs w:val="24"/>
                <w:shd w:val="clear" w:color="auto" w:fill="FFFFFF"/>
              </w:rPr>
            </w:pPr>
            <w:r>
              <w:rPr>
                <w:rFonts w:hint="eastAsia" w:ascii="微软雅黑" w:hAnsi="微软雅黑" w:eastAsia="微软雅黑" w:cs="微软雅黑"/>
                <w:spacing w:val="8"/>
                <w:sz w:val="24"/>
                <w:szCs w:val="24"/>
                <w:shd w:val="clear" w:color="auto" w:fill="FFFFFF"/>
                <w:lang w:val="en-US" w:eastAsia="zh-CN"/>
              </w:rPr>
              <w:t>11</w:t>
            </w:r>
            <w:r>
              <w:rPr>
                <w:rFonts w:hint="eastAsia" w:ascii="微软雅黑" w:hAnsi="微软雅黑" w:eastAsia="微软雅黑" w:cs="微软雅黑"/>
                <w:spacing w:val="8"/>
                <w:sz w:val="24"/>
                <w:szCs w:val="24"/>
                <w:shd w:val="clear" w:color="auto" w:fill="FFFFFF"/>
              </w:rPr>
              <w:t>月2</w:t>
            </w:r>
            <w:r>
              <w:rPr>
                <w:rFonts w:hint="eastAsia" w:ascii="微软雅黑" w:hAnsi="微软雅黑" w:eastAsia="微软雅黑" w:cs="微软雅黑"/>
                <w:spacing w:val="8"/>
                <w:sz w:val="24"/>
                <w:szCs w:val="24"/>
                <w:shd w:val="clear" w:color="auto" w:fill="FFFFFF"/>
                <w:lang w:val="en-US" w:eastAsia="zh-CN"/>
              </w:rPr>
              <w:t>2</w:t>
            </w:r>
            <w:r>
              <w:rPr>
                <w:rFonts w:hint="eastAsia" w:ascii="微软雅黑" w:hAnsi="微软雅黑" w:eastAsia="微软雅黑" w:cs="微软雅黑"/>
                <w:spacing w:val="8"/>
                <w:sz w:val="24"/>
                <w:szCs w:val="24"/>
                <w:shd w:val="clear" w:color="auto" w:fill="FFFFFF"/>
              </w:rPr>
              <w:t>日</w:t>
            </w:r>
          </w:p>
          <w:p w14:paraId="385FC2AB">
            <w:pPr>
              <w:spacing w:line="360" w:lineRule="exact"/>
              <w:jc w:val="center"/>
              <w:rPr>
                <w:rFonts w:ascii="微软雅黑" w:hAnsi="微软雅黑" w:eastAsia="微软雅黑" w:cs="微软雅黑"/>
                <w:spacing w:val="8"/>
                <w:sz w:val="24"/>
                <w:szCs w:val="24"/>
                <w:shd w:val="clear" w:color="auto" w:fill="FFFFFF"/>
              </w:rPr>
            </w:pPr>
            <w:r>
              <w:rPr>
                <w:rFonts w:hint="eastAsia" w:ascii="微软雅黑" w:hAnsi="微软雅黑" w:eastAsia="微软雅黑" w:cs="微软雅黑"/>
                <w:spacing w:val="8"/>
                <w:sz w:val="24"/>
                <w:szCs w:val="24"/>
                <w:shd w:val="clear" w:color="auto" w:fill="FFFFFF"/>
              </w:rPr>
              <w:t>（周六）</w:t>
            </w:r>
          </w:p>
        </w:tc>
        <w:tc>
          <w:tcPr>
            <w:tcW w:w="1113" w:type="dxa"/>
            <w:vAlign w:val="center"/>
          </w:tcPr>
          <w:p w14:paraId="1B83615C">
            <w:pPr>
              <w:spacing w:line="360" w:lineRule="exact"/>
              <w:jc w:val="center"/>
              <w:rPr>
                <w:rFonts w:ascii="微软雅黑" w:hAnsi="微软雅黑" w:eastAsia="微软雅黑" w:cs="微软雅黑"/>
                <w:spacing w:val="8"/>
                <w:sz w:val="24"/>
                <w:szCs w:val="24"/>
                <w:shd w:val="clear" w:color="auto" w:fill="FFFFFF"/>
              </w:rPr>
            </w:pPr>
            <w:r>
              <w:rPr>
                <w:rFonts w:hint="eastAsia" w:ascii="微软雅黑" w:hAnsi="微软雅黑" w:eastAsia="微软雅黑" w:cs="微软雅黑"/>
                <w:spacing w:val="8"/>
                <w:sz w:val="24"/>
                <w:szCs w:val="24"/>
                <w:shd w:val="clear" w:color="auto" w:fill="FFFFFF"/>
              </w:rPr>
              <w:t>上午</w:t>
            </w:r>
          </w:p>
        </w:tc>
        <w:tc>
          <w:tcPr>
            <w:tcW w:w="6367" w:type="dxa"/>
            <w:vAlign w:val="center"/>
          </w:tcPr>
          <w:p w14:paraId="1F2D45DA">
            <w:pPr>
              <w:jc w:val="both"/>
              <w:rPr>
                <w:rFonts w:ascii="微软雅黑" w:hAnsi="微软雅黑" w:eastAsia="微软雅黑" w:cs="微软雅黑"/>
                <w:spacing w:val="8"/>
                <w:sz w:val="24"/>
                <w:szCs w:val="24"/>
                <w:shd w:val="clear" w:color="auto" w:fill="FFFFFF"/>
              </w:rPr>
            </w:pPr>
            <w:r>
              <w:rPr>
                <w:rFonts w:hint="eastAsia" w:ascii="微软雅黑" w:hAnsi="微软雅黑" w:eastAsia="微软雅黑" w:cs="微软雅黑"/>
                <w:b w:val="0"/>
                <w:bCs w:val="0"/>
                <w:color w:val="auto"/>
                <w:spacing w:val="9"/>
                <w:kern w:val="0"/>
                <w:sz w:val="21"/>
                <w:szCs w:val="21"/>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阿里巴巴生态园、</w:t>
            </w:r>
            <w:r>
              <w:rPr>
                <w:rFonts w:hint="eastAsia" w:ascii="微软雅黑" w:hAnsi="微软雅黑" w:eastAsia="微软雅黑" w:cs="微软雅黑"/>
                <w:b w:val="0"/>
                <w:bCs w:val="0"/>
                <w:i w:val="0"/>
                <w:iCs w:val="0"/>
                <w:caps w:val="0"/>
                <w:spacing w:val="8"/>
                <w:sz w:val="21"/>
                <w:szCs w:val="21"/>
                <w:shd w:val="clear" w:fill="FFFFFF"/>
              </w:rPr>
              <w:t>阿里巴巴达摩院南湖园区</w:t>
            </w:r>
          </w:p>
        </w:tc>
      </w:tr>
      <w:tr w14:paraId="785A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851" w:type="dxa"/>
            <w:vMerge w:val="continue"/>
            <w:vAlign w:val="center"/>
          </w:tcPr>
          <w:p w14:paraId="3AB0A705">
            <w:pPr>
              <w:spacing w:line="360" w:lineRule="exact"/>
              <w:jc w:val="center"/>
              <w:rPr>
                <w:rFonts w:ascii="微软雅黑" w:hAnsi="微软雅黑" w:eastAsia="微软雅黑" w:cs="微软雅黑"/>
                <w:spacing w:val="8"/>
                <w:sz w:val="24"/>
                <w:szCs w:val="24"/>
                <w:shd w:val="clear" w:color="auto" w:fill="FFFFFF"/>
              </w:rPr>
            </w:pPr>
          </w:p>
        </w:tc>
        <w:tc>
          <w:tcPr>
            <w:tcW w:w="1113" w:type="dxa"/>
            <w:vAlign w:val="center"/>
          </w:tcPr>
          <w:p w14:paraId="0996A08B">
            <w:pPr>
              <w:spacing w:line="360" w:lineRule="exact"/>
              <w:jc w:val="center"/>
              <w:rPr>
                <w:rFonts w:ascii="微软雅黑" w:hAnsi="微软雅黑" w:eastAsia="微软雅黑" w:cs="微软雅黑"/>
                <w:spacing w:val="8"/>
                <w:sz w:val="24"/>
                <w:szCs w:val="24"/>
                <w:shd w:val="clear" w:color="auto" w:fill="FFFFFF"/>
              </w:rPr>
            </w:pPr>
            <w:r>
              <w:rPr>
                <w:rFonts w:hint="eastAsia" w:ascii="微软雅黑" w:hAnsi="微软雅黑" w:eastAsia="微软雅黑" w:cs="微软雅黑"/>
                <w:spacing w:val="8"/>
                <w:sz w:val="24"/>
                <w:szCs w:val="24"/>
                <w:shd w:val="clear" w:color="auto" w:fill="FFFFFF"/>
              </w:rPr>
              <w:t>下午</w:t>
            </w:r>
          </w:p>
        </w:tc>
        <w:tc>
          <w:tcPr>
            <w:tcW w:w="6367" w:type="dxa"/>
            <w:vAlign w:val="center"/>
          </w:tcPr>
          <w:p w14:paraId="7B0411A4">
            <w:pPr>
              <w:spacing w:line="360" w:lineRule="exact"/>
              <w:rPr>
                <w:rFonts w:hint="eastAsia" w:ascii="微软雅黑" w:hAnsi="微软雅黑" w:eastAsia="微软雅黑" w:cs="微软雅黑"/>
                <w:spacing w:val="8"/>
                <w:sz w:val="24"/>
                <w:szCs w:val="24"/>
                <w:shd w:val="clear" w:color="auto" w:fill="FFFFFF"/>
                <w:lang w:eastAsia="zh-CN"/>
              </w:rPr>
            </w:pPr>
            <w:r>
              <w:rPr>
                <w:rFonts w:hint="eastAsia" w:ascii="微软雅黑" w:hAnsi="微软雅黑" w:eastAsia="微软雅黑" w:cs="微软雅黑"/>
                <w:spacing w:val="8"/>
                <w:sz w:val="21"/>
                <w:szCs w:val="21"/>
                <w:shd w:val="clear" w:color="auto" w:fill="FFFFFF"/>
              </w:rPr>
              <w:t>杭州祥符桥传统风貌街区城市更新</w:t>
            </w:r>
            <w:r>
              <w:rPr>
                <w:rFonts w:hint="eastAsia" w:ascii="微软雅黑" w:hAnsi="微软雅黑" w:eastAsia="微软雅黑" w:cs="微软雅黑"/>
                <w:spacing w:val="8"/>
                <w:sz w:val="21"/>
                <w:szCs w:val="21"/>
                <w:shd w:val="clear" w:color="auto" w:fill="FFFFFF"/>
                <w:lang w:eastAsia="zh-CN"/>
              </w:rPr>
              <w:t>、</w:t>
            </w:r>
            <w:r>
              <w:rPr>
                <w:rFonts w:hint="eastAsia" w:ascii="微软雅黑" w:hAnsi="微软雅黑" w:eastAsia="微软雅黑" w:cs="微软雅黑"/>
                <w:b w:val="0"/>
                <w:bCs w:val="0"/>
                <w:sz w:val="21"/>
                <w:szCs w:val="21"/>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杭州亚奥万象天地景观提升</w:t>
            </w:r>
          </w:p>
        </w:tc>
      </w:tr>
      <w:tr w14:paraId="2CDD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851" w:type="dxa"/>
            <w:vMerge w:val="restart"/>
            <w:vAlign w:val="center"/>
          </w:tcPr>
          <w:p w14:paraId="7D51855B">
            <w:pPr>
              <w:spacing w:line="360" w:lineRule="exact"/>
              <w:jc w:val="center"/>
              <w:rPr>
                <w:rFonts w:ascii="微软雅黑" w:hAnsi="微软雅黑" w:eastAsia="微软雅黑" w:cs="微软雅黑"/>
                <w:spacing w:val="8"/>
                <w:sz w:val="24"/>
                <w:szCs w:val="24"/>
                <w:shd w:val="clear" w:color="auto" w:fill="FFFFFF"/>
              </w:rPr>
            </w:pPr>
            <w:r>
              <w:rPr>
                <w:rFonts w:hint="eastAsia" w:ascii="微软雅黑" w:hAnsi="微软雅黑" w:eastAsia="微软雅黑" w:cs="微软雅黑"/>
                <w:spacing w:val="8"/>
                <w:sz w:val="24"/>
                <w:szCs w:val="24"/>
                <w:shd w:val="clear" w:color="auto" w:fill="FFFFFF"/>
                <w:lang w:val="en-US" w:eastAsia="zh-CN"/>
              </w:rPr>
              <w:t>11</w:t>
            </w:r>
            <w:r>
              <w:rPr>
                <w:rFonts w:hint="eastAsia" w:ascii="微软雅黑" w:hAnsi="微软雅黑" w:eastAsia="微软雅黑" w:cs="微软雅黑"/>
                <w:spacing w:val="8"/>
                <w:sz w:val="24"/>
                <w:szCs w:val="24"/>
                <w:shd w:val="clear" w:color="auto" w:fill="FFFFFF"/>
              </w:rPr>
              <w:t>月2</w:t>
            </w:r>
            <w:r>
              <w:rPr>
                <w:rFonts w:hint="eastAsia" w:ascii="微软雅黑" w:hAnsi="微软雅黑" w:eastAsia="微软雅黑" w:cs="微软雅黑"/>
                <w:spacing w:val="8"/>
                <w:sz w:val="24"/>
                <w:szCs w:val="24"/>
                <w:shd w:val="clear" w:color="auto" w:fill="FFFFFF"/>
                <w:lang w:val="en-US" w:eastAsia="zh-CN"/>
              </w:rPr>
              <w:t>3</w:t>
            </w:r>
            <w:r>
              <w:rPr>
                <w:rFonts w:hint="eastAsia" w:ascii="微软雅黑" w:hAnsi="微软雅黑" w:eastAsia="微软雅黑" w:cs="微软雅黑"/>
                <w:spacing w:val="8"/>
                <w:sz w:val="24"/>
                <w:szCs w:val="24"/>
                <w:shd w:val="clear" w:color="auto" w:fill="FFFFFF"/>
              </w:rPr>
              <w:t>日</w:t>
            </w:r>
          </w:p>
          <w:p w14:paraId="71EBAD21">
            <w:pPr>
              <w:spacing w:line="360" w:lineRule="exact"/>
              <w:jc w:val="center"/>
              <w:rPr>
                <w:rFonts w:ascii="微软雅黑" w:hAnsi="微软雅黑" w:eastAsia="微软雅黑" w:cs="微软雅黑"/>
                <w:spacing w:val="8"/>
                <w:sz w:val="24"/>
                <w:szCs w:val="24"/>
                <w:shd w:val="clear" w:color="auto" w:fill="FFFFFF"/>
              </w:rPr>
            </w:pPr>
            <w:r>
              <w:rPr>
                <w:rFonts w:hint="eastAsia" w:ascii="微软雅黑" w:hAnsi="微软雅黑" w:eastAsia="微软雅黑" w:cs="微软雅黑"/>
                <w:spacing w:val="8"/>
                <w:sz w:val="24"/>
                <w:szCs w:val="24"/>
                <w:shd w:val="clear" w:color="auto" w:fill="FFFFFF"/>
              </w:rPr>
              <w:t>（周日）</w:t>
            </w:r>
          </w:p>
        </w:tc>
        <w:tc>
          <w:tcPr>
            <w:tcW w:w="1113" w:type="dxa"/>
            <w:vAlign w:val="center"/>
          </w:tcPr>
          <w:p w14:paraId="1DF613DD">
            <w:pPr>
              <w:spacing w:line="360" w:lineRule="exact"/>
              <w:jc w:val="center"/>
              <w:rPr>
                <w:rFonts w:ascii="微软雅黑" w:hAnsi="微软雅黑" w:eastAsia="微软雅黑" w:cs="微软雅黑"/>
                <w:spacing w:val="8"/>
                <w:sz w:val="24"/>
                <w:szCs w:val="24"/>
                <w:shd w:val="clear" w:color="auto" w:fill="FFFFFF"/>
              </w:rPr>
            </w:pPr>
            <w:r>
              <w:rPr>
                <w:rFonts w:hint="eastAsia" w:ascii="微软雅黑" w:hAnsi="微软雅黑" w:eastAsia="微软雅黑" w:cs="微软雅黑"/>
                <w:spacing w:val="8"/>
                <w:sz w:val="24"/>
                <w:szCs w:val="24"/>
                <w:shd w:val="clear" w:color="auto" w:fill="FFFFFF"/>
              </w:rPr>
              <w:t>上午</w:t>
            </w:r>
          </w:p>
        </w:tc>
        <w:tc>
          <w:tcPr>
            <w:tcW w:w="6367" w:type="dxa"/>
            <w:vAlign w:val="center"/>
          </w:tcPr>
          <w:p w14:paraId="3A9FEC14">
            <w:pPr>
              <w:spacing w:line="360" w:lineRule="exact"/>
              <w:rPr>
                <w:rFonts w:ascii="微软雅黑" w:hAnsi="微软雅黑" w:eastAsia="微软雅黑" w:cs="微软雅黑"/>
                <w:spacing w:val="8"/>
                <w:sz w:val="24"/>
                <w:szCs w:val="24"/>
                <w:shd w:val="clear" w:color="auto" w:fill="FFFFFF"/>
              </w:rPr>
            </w:pPr>
            <w:r>
              <w:rPr>
                <w:rFonts w:hint="eastAsia" w:ascii="微软雅黑" w:hAnsi="微软雅黑" w:eastAsia="微软雅黑" w:cs="微软雅黑"/>
                <w:spacing w:val="8"/>
                <w:sz w:val="21"/>
                <w:szCs w:val="21"/>
                <w:shd w:val="clear" w:color="auto" w:fill="FFFFFF"/>
              </w:rPr>
              <w:t>良渚玉鸟集、良渚玉湖公园</w:t>
            </w:r>
          </w:p>
        </w:tc>
      </w:tr>
      <w:tr w14:paraId="030DB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851" w:type="dxa"/>
            <w:vMerge w:val="continue"/>
            <w:vAlign w:val="center"/>
          </w:tcPr>
          <w:p w14:paraId="286B285C">
            <w:pPr>
              <w:spacing w:line="360" w:lineRule="exact"/>
              <w:jc w:val="center"/>
              <w:rPr>
                <w:rFonts w:ascii="微软雅黑" w:hAnsi="微软雅黑" w:eastAsia="微软雅黑" w:cs="微软雅黑"/>
                <w:spacing w:val="8"/>
                <w:sz w:val="24"/>
                <w:szCs w:val="24"/>
                <w:shd w:val="clear" w:color="auto" w:fill="FFFFFF"/>
              </w:rPr>
            </w:pPr>
          </w:p>
        </w:tc>
        <w:tc>
          <w:tcPr>
            <w:tcW w:w="1113" w:type="dxa"/>
            <w:vAlign w:val="center"/>
          </w:tcPr>
          <w:p w14:paraId="18EBE0ED">
            <w:pPr>
              <w:spacing w:line="360" w:lineRule="exact"/>
              <w:jc w:val="center"/>
              <w:rPr>
                <w:rFonts w:ascii="微软雅黑" w:hAnsi="微软雅黑" w:eastAsia="微软雅黑" w:cs="微软雅黑"/>
                <w:spacing w:val="8"/>
                <w:sz w:val="24"/>
                <w:szCs w:val="24"/>
                <w:shd w:val="clear" w:color="auto" w:fill="FFFFFF"/>
              </w:rPr>
            </w:pPr>
            <w:r>
              <w:rPr>
                <w:rFonts w:hint="eastAsia" w:ascii="微软雅黑" w:hAnsi="微软雅黑" w:eastAsia="微软雅黑" w:cs="微软雅黑"/>
                <w:spacing w:val="8"/>
                <w:sz w:val="24"/>
                <w:szCs w:val="24"/>
                <w:shd w:val="clear" w:color="auto" w:fill="FFFFFF"/>
              </w:rPr>
              <w:t>下午</w:t>
            </w:r>
          </w:p>
        </w:tc>
        <w:tc>
          <w:tcPr>
            <w:tcW w:w="6367" w:type="dxa"/>
            <w:vAlign w:val="center"/>
          </w:tcPr>
          <w:p w14:paraId="19CF6B41">
            <w:pPr>
              <w:spacing w:line="360" w:lineRule="exact"/>
              <w:rPr>
                <w:rFonts w:hint="eastAsia" w:ascii="微软雅黑" w:hAnsi="微软雅黑" w:eastAsia="微软雅黑" w:cs="微软雅黑"/>
                <w:b w:val="0"/>
                <w:bCs w:val="0"/>
                <w:i w:val="0"/>
                <w:iCs w:val="0"/>
                <w:caps w:val="0"/>
                <w:spacing w:val="8"/>
                <w:sz w:val="21"/>
                <w:szCs w:val="21"/>
                <w:shd w:val="clear" w:fill="FFFFFF"/>
              </w:rPr>
            </w:pPr>
            <w:r>
              <w:rPr>
                <w:rFonts w:hint="eastAsia" w:ascii="微软雅黑" w:hAnsi="微软雅黑" w:eastAsia="微软雅黑" w:cs="微软雅黑"/>
                <w:b w:val="0"/>
                <w:bCs w:val="0"/>
                <w:i w:val="0"/>
                <w:iCs w:val="0"/>
                <w:caps w:val="0"/>
                <w:spacing w:val="8"/>
                <w:sz w:val="21"/>
                <w:szCs w:val="21"/>
                <w:shd w:val="clear" w:fill="FFFFFF"/>
              </w:rPr>
              <w:t>大运河滨水公共空间谢村码头段的活力再生</w:t>
            </w:r>
          </w:p>
          <w:p w14:paraId="0D7976FB">
            <w:pPr>
              <w:jc w:val="left"/>
              <w:rPr>
                <w:rFonts w:ascii="微软雅黑" w:hAnsi="微软雅黑" w:eastAsia="微软雅黑" w:cs="微软雅黑"/>
                <w:spacing w:val="8"/>
                <w:sz w:val="24"/>
                <w:szCs w:val="24"/>
                <w:shd w:val="clear" w:color="auto" w:fill="FFFFFF"/>
              </w:rPr>
            </w:pPr>
            <w:r>
              <w:rPr>
                <w:rFonts w:hint="eastAsia" w:ascii="微软雅黑" w:hAnsi="微软雅黑" w:eastAsia="微软雅黑" w:cs="微软雅黑"/>
                <w:b w:val="0"/>
                <w:bCs w:val="0"/>
                <w:kern w:val="0"/>
                <w:sz w:val="21"/>
                <w:szCs w:val="21"/>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云栖小镇会展中心二期</w:t>
            </w:r>
          </w:p>
        </w:tc>
      </w:tr>
    </w:tbl>
    <w:p w14:paraId="46135014">
      <w:pPr>
        <w:spacing w:line="520" w:lineRule="exact"/>
        <w:rPr>
          <w:rFonts w:ascii="微软雅黑" w:hAnsi="微软雅黑" w:eastAsia="微软雅黑" w:cs="微软雅黑"/>
          <w:b/>
          <w:bCs/>
          <w:color w:val="000000"/>
          <w:kern w:val="0"/>
          <w:szCs w:val="21"/>
        </w:rPr>
      </w:pPr>
    </w:p>
    <w:p w14:paraId="3DB3D124">
      <w:pPr>
        <w:spacing w:line="520" w:lineRule="exact"/>
        <w:rPr>
          <w:rFonts w:ascii="微软雅黑" w:hAnsi="微软雅黑" w:eastAsia="微软雅黑" w:cs="微软雅黑"/>
          <w:b/>
          <w:bCs/>
          <w:color w:val="000000"/>
          <w:kern w:val="0"/>
          <w:sz w:val="28"/>
          <w:szCs w:val="28"/>
        </w:rPr>
      </w:pPr>
      <w:r>
        <w:rPr>
          <w:rFonts w:hint="eastAsia" w:ascii="微软雅黑" w:hAnsi="微软雅黑" w:eastAsia="微软雅黑" w:cs="微软雅黑"/>
          <w:b/>
          <w:bCs/>
          <w:color w:val="000000"/>
          <w:kern w:val="0"/>
          <w:sz w:val="28"/>
          <w:szCs w:val="28"/>
        </w:rPr>
        <w:t>【报名须知】</w:t>
      </w:r>
    </w:p>
    <w:p w14:paraId="0B0853A3">
      <w:pPr>
        <w:spacing w:line="520" w:lineRule="exact"/>
        <w:rPr>
          <w:rFonts w:ascii="微软雅黑" w:hAnsi="微软雅黑" w:eastAsia="微软雅黑" w:cs="微软雅黑"/>
          <w:b/>
          <w:bCs/>
          <w:sz w:val="24"/>
          <w:szCs w:val="24"/>
        </w:rPr>
      </w:pPr>
      <w:r>
        <w:rPr>
          <w:rFonts w:hint="eastAsia" w:ascii="微软雅黑" w:hAnsi="微软雅黑" w:eastAsia="微软雅黑" w:cs="微软雅黑"/>
          <w:sz w:val="24"/>
          <w:szCs w:val="24"/>
        </w:rPr>
        <w:t>游学费：2</w:t>
      </w: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rPr>
        <w:t>80元/人￥（</w:t>
      </w:r>
      <w:r>
        <w:rPr>
          <w:rFonts w:hint="eastAsia" w:ascii="微软雅黑" w:hAnsi="微软雅黑" w:eastAsia="微软雅黑" w:cs="微软雅黑"/>
          <w:sz w:val="24"/>
          <w:szCs w:val="24"/>
          <w:lang w:val="en-US" w:eastAsia="zh-CN"/>
        </w:rPr>
        <w:t>11</w:t>
      </w:r>
      <w:r>
        <w:rPr>
          <w:rFonts w:hint="eastAsia" w:ascii="微软雅黑" w:hAnsi="微软雅黑" w:eastAsia="微软雅黑" w:cs="微软雅黑"/>
          <w:sz w:val="24"/>
          <w:szCs w:val="24"/>
        </w:rPr>
        <w:t>月18日之后报名</w:t>
      </w:r>
      <w:r>
        <w:rPr>
          <w:rFonts w:hint="eastAsia" w:ascii="微软雅黑" w:hAnsi="微软雅黑" w:eastAsia="微软雅黑" w:cs="微软雅黑"/>
          <w:sz w:val="24"/>
          <w:szCs w:val="24"/>
          <w:lang w:val="en-US" w:eastAsia="zh-CN"/>
        </w:rPr>
        <w:t>32</w:t>
      </w:r>
      <w:r>
        <w:rPr>
          <w:rFonts w:hint="eastAsia" w:ascii="微软雅黑" w:hAnsi="微软雅黑" w:eastAsia="微软雅黑" w:cs="微软雅黑"/>
          <w:sz w:val="24"/>
          <w:szCs w:val="24"/>
        </w:rPr>
        <w:t>80元／人）。（组织费、大巴费、午餐费、考察费），住宿人员，会议组统一安排，费用自理！欢迎各企业人员报名参加！</w:t>
      </w:r>
    </w:p>
    <w:p w14:paraId="6D365018">
      <w:pPr>
        <w:spacing w:line="52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b/>
          <w:szCs w:val="21"/>
        </w:rPr>
        <w:drawing>
          <wp:anchor distT="0" distB="0" distL="114300" distR="114300" simplePos="0" relativeHeight="251659264" behindDoc="1" locked="0" layoutInCell="1" allowOverlap="1">
            <wp:simplePos x="0" y="0"/>
            <wp:positionH relativeFrom="column">
              <wp:posOffset>3368040</wp:posOffset>
            </wp:positionH>
            <wp:positionV relativeFrom="paragraph">
              <wp:posOffset>160020</wp:posOffset>
            </wp:positionV>
            <wp:extent cx="1457325" cy="1457325"/>
            <wp:effectExtent l="0" t="0" r="9525" b="9525"/>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457325" cy="1457325"/>
                    </a:xfrm>
                    <a:prstGeom prst="rect">
                      <a:avLst/>
                    </a:prstGeom>
                    <a:noFill/>
                    <a:ln>
                      <a:noFill/>
                    </a:ln>
                  </pic:spPr>
                </pic:pic>
              </a:graphicData>
            </a:graphic>
          </wp:anchor>
        </w:drawing>
      </w:r>
      <w:r>
        <w:rPr>
          <w:rFonts w:hint="eastAsia" w:ascii="微软雅黑" w:hAnsi="微软雅黑" w:eastAsia="微软雅黑" w:cs="微软雅黑"/>
          <w:sz w:val="24"/>
          <w:szCs w:val="24"/>
        </w:rPr>
        <w:t>详情咨询：</w:t>
      </w:r>
      <w:r>
        <w:rPr>
          <w:rFonts w:hint="eastAsia" w:ascii="微软雅黑" w:hAnsi="微软雅黑" w:eastAsia="微软雅黑" w:cs="微软雅黑"/>
          <w:sz w:val="24"/>
          <w:szCs w:val="24"/>
          <w:lang w:val="en-US" w:eastAsia="zh-CN"/>
        </w:rPr>
        <w:t>133 1125 7001（同微信）</w:t>
      </w:r>
    </w:p>
    <w:p w14:paraId="023B8FF6">
      <w:pPr>
        <w:spacing w:line="520" w:lineRule="exact"/>
        <w:rPr>
          <w:rFonts w:ascii="微软雅黑" w:hAnsi="微软雅黑" w:eastAsia="微软雅黑" w:cs="微软雅黑"/>
          <w:b/>
          <w:bCs/>
          <w:sz w:val="24"/>
          <w:szCs w:val="24"/>
        </w:rPr>
      </w:pPr>
      <w:r>
        <w:rPr>
          <w:rFonts w:hint="eastAsia" w:ascii="微软雅黑" w:hAnsi="微软雅黑" w:eastAsia="微软雅黑" w:cs="微软雅黑"/>
          <w:sz w:val="24"/>
          <w:szCs w:val="24"/>
        </w:rPr>
        <w:t>联 系 人：</w:t>
      </w:r>
      <w:r>
        <w:rPr>
          <w:rFonts w:hint="eastAsia" w:ascii="微软雅黑" w:hAnsi="微软雅黑" w:eastAsia="微软雅黑" w:cs="微软雅黑"/>
          <w:sz w:val="24"/>
          <w:szCs w:val="24"/>
          <w:lang w:val="en-US" w:eastAsia="zh-CN"/>
        </w:rPr>
        <w:t>李</w:t>
      </w:r>
      <w:r>
        <w:rPr>
          <w:rFonts w:hint="eastAsia" w:ascii="微软雅黑" w:hAnsi="微软雅黑" w:eastAsia="微软雅黑" w:cs="微软雅黑"/>
          <w:sz w:val="24"/>
          <w:szCs w:val="24"/>
        </w:rPr>
        <w:t>老师</w:t>
      </w:r>
    </w:p>
    <w:p w14:paraId="5C07A287">
      <w:pPr>
        <w:spacing w:line="520" w:lineRule="exact"/>
        <w:ind w:firstLine="4562" w:firstLineChars="1900"/>
        <w:rPr>
          <w:rFonts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东方智赢（北京）企业管理有限公司   </w:t>
      </w:r>
    </w:p>
    <w:p w14:paraId="653C5697">
      <w:pPr>
        <w:spacing w:line="520" w:lineRule="exact"/>
        <w:ind w:firstLine="4802" w:firstLineChars="2000"/>
        <w:rPr>
          <w:rFonts w:ascii="微软雅黑" w:hAnsi="微软雅黑" w:eastAsia="微软雅黑" w:cs="微软雅黑"/>
          <w:b/>
          <w:bCs/>
          <w:sz w:val="24"/>
          <w:szCs w:val="24"/>
        </w:rPr>
      </w:pPr>
    </w:p>
    <w:p w14:paraId="27CDADBA">
      <w:pPr>
        <w:spacing w:line="520" w:lineRule="exact"/>
        <w:rPr>
          <w:rFonts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 </w:t>
      </w:r>
    </w:p>
    <w:p w14:paraId="64D5E46D">
      <w:pPr>
        <w:spacing w:line="520" w:lineRule="exact"/>
        <w:ind w:left="275" w:leftChars="131" w:firstLine="131" w:firstLineChars="49"/>
        <w:rPr>
          <w:rFonts w:ascii="微软雅黑" w:hAnsi="微软雅黑" w:eastAsia="微软雅黑" w:cs="微软雅黑"/>
          <w:color w:val="333333"/>
          <w:spacing w:val="14"/>
          <w:kern w:val="0"/>
          <w:sz w:val="24"/>
          <w:szCs w:val="24"/>
        </w:rPr>
      </w:pPr>
    </w:p>
    <w:p w14:paraId="3ACE5A6C">
      <w:pPr>
        <w:widowControl/>
        <w:shd w:val="clear" w:color="auto" w:fill="FFFFFF"/>
        <w:spacing w:line="360" w:lineRule="exact"/>
        <w:ind w:firstLine="3882" w:firstLineChars="1000"/>
        <w:rPr>
          <w:rFonts w:ascii="微软雅黑" w:hAnsi="微软雅黑" w:eastAsia="微软雅黑" w:cs="微软雅黑"/>
          <w:b/>
          <w:bCs/>
          <w:color w:val="333333"/>
          <w:spacing w:val="14"/>
          <w:kern w:val="0"/>
          <w:sz w:val="36"/>
          <w:szCs w:val="36"/>
          <w:shd w:val="clear" w:color="FFFFFF" w:fill="D9D9D9"/>
        </w:rPr>
      </w:pPr>
      <w:r>
        <w:rPr>
          <w:rFonts w:hint="eastAsia" w:ascii="微软雅黑" w:hAnsi="微软雅黑" w:eastAsia="微软雅黑" w:cs="微软雅黑"/>
          <w:b/>
          <w:bCs/>
          <w:color w:val="333333"/>
          <w:spacing w:val="14"/>
          <w:kern w:val="0"/>
          <w:sz w:val="36"/>
          <w:szCs w:val="36"/>
          <w:shd w:val="clear" w:color="FFFFFF" w:fill="D9D9D9"/>
        </w:rPr>
        <w:t>部分项目介绍</w:t>
      </w:r>
    </w:p>
    <w:p w14:paraId="39FDB4EE">
      <w:pPr>
        <w:widowControl/>
        <w:shd w:val="clear" w:color="auto" w:fill="FFFFFF"/>
        <w:spacing w:line="360" w:lineRule="exact"/>
        <w:ind w:firstLine="3882" w:firstLineChars="1000"/>
        <w:rPr>
          <w:rFonts w:ascii="微软雅黑" w:hAnsi="微软雅黑" w:eastAsia="微软雅黑" w:cs="微软雅黑"/>
          <w:b/>
          <w:bCs/>
          <w:color w:val="333333"/>
          <w:spacing w:val="14"/>
          <w:kern w:val="0"/>
          <w:sz w:val="36"/>
          <w:szCs w:val="36"/>
          <w:shd w:val="clear" w:color="FFFFFF" w:fill="D9D9D9"/>
        </w:rPr>
      </w:pPr>
    </w:p>
    <w:p w14:paraId="7703CDA4">
      <w:pPr>
        <w:pStyle w:val="2"/>
        <w:shd w:val="clear" w:color="auto" w:fill="FFFFFF"/>
        <w:spacing w:before="0" w:beforeAutospacing="0" w:after="0" w:afterAutospacing="0" w:line="360" w:lineRule="exact"/>
        <w:jc w:val="both"/>
        <w:rPr>
          <w:rFonts w:ascii="微软雅黑" w:hAnsi="微软雅黑" w:eastAsia="微软雅黑" w:cs="微软雅黑"/>
          <w:b/>
          <w:bCs/>
          <w:color w:val="333333"/>
          <w:spacing w:val="14"/>
          <w:kern w:val="0"/>
          <w:sz w:val="36"/>
          <w:szCs w:val="36"/>
          <w:shd w:val="clear" w:color="FFFFFF" w:fill="D9D9D9"/>
        </w:rPr>
      </w:pPr>
    </w:p>
    <w:p w14:paraId="7E03555A">
      <w:pPr>
        <w:spacing w:line="360" w:lineRule="exact"/>
        <w:rPr>
          <w:rFonts w:ascii="微软雅黑" w:hAnsi="微软雅黑" w:eastAsia="微软雅黑" w:cs="微软雅黑"/>
          <w:b/>
          <w:bCs/>
          <w:sz w:val="28"/>
          <w:szCs w:val="28"/>
          <w:shd w:val="clear" w:color="FFFFFF" w:fill="D9D9D9"/>
        </w:rPr>
      </w:pPr>
      <w:r>
        <w:rPr>
          <w:rFonts w:hint="eastAsia" w:ascii="微软雅黑" w:hAnsi="微软雅黑" w:eastAsia="微软雅黑" w:cs="微软雅黑"/>
          <w:b/>
          <w:bCs/>
          <w:color w:val="auto"/>
          <w:spacing w:val="9"/>
          <w:kern w:val="0"/>
          <w:sz w:val="28"/>
          <w:szCs w:val="28"/>
          <w:shd w:val="clear" w:color="FFFFFF" w:fill="D9D9D9"/>
          <w:lang w:val="en-US" w:eastAsia="zh-CN" w:bidi="ar"/>
        </w:rPr>
        <w:t>阿里巴巴生态园</w:t>
      </w:r>
    </w:p>
    <w:p w14:paraId="4565A798">
      <w:pPr>
        <w:pStyle w:val="2"/>
        <w:shd w:val="clear" w:color="auto" w:fill="FFFFFF"/>
        <w:spacing w:before="0" w:beforeAutospacing="0" w:after="0" w:afterAutospacing="0" w:line="360" w:lineRule="exact"/>
        <w:jc w:val="both"/>
        <w:rPr>
          <w:rFonts w:hint="eastAsia" w:ascii="微软雅黑" w:hAnsi="微软雅黑" w:eastAsia="微软雅黑" w:cs="微软雅黑"/>
          <w:b w:val="0"/>
          <w:bCs w:val="0"/>
          <w:spacing w:val="9"/>
          <w:sz w:val="21"/>
          <w:szCs w:val="21"/>
        </w:rPr>
      </w:pPr>
      <w:r>
        <w:rPr>
          <w:rFonts w:hint="eastAsia" w:ascii="微软雅黑" w:hAnsi="微软雅黑" w:eastAsia="微软雅黑" w:cs="微软雅黑"/>
          <w:b w:val="0"/>
          <w:bCs w:val="0"/>
          <w:spacing w:val="9"/>
          <w:sz w:val="21"/>
          <w:szCs w:val="21"/>
        </w:rPr>
        <w:t>【项目介绍】位于杭州的阿里巴巴西溪园区C区，该项目在自然环境与建筑环境的融合方面树立了新的标准，通过打造一系列郁郁葱葱的亲生物空间，可容纳30,000人。</w:t>
      </w:r>
    </w:p>
    <w:p w14:paraId="34581879">
      <w:pPr>
        <w:pStyle w:val="2"/>
        <w:shd w:val="clear" w:color="auto" w:fill="FFFFFF"/>
        <w:spacing w:before="0" w:beforeAutospacing="0" w:after="0" w:afterAutospacing="0" w:line="360" w:lineRule="exact"/>
        <w:jc w:val="both"/>
        <w:rPr>
          <w:rFonts w:hint="eastAsia" w:ascii="微软雅黑" w:hAnsi="微软雅黑" w:eastAsia="微软雅黑" w:cs="微软雅黑"/>
          <w:b w:val="0"/>
          <w:bCs w:val="0"/>
          <w:spacing w:val="9"/>
          <w:sz w:val="21"/>
          <w:szCs w:val="21"/>
        </w:rPr>
      </w:pPr>
      <w:r>
        <w:rPr>
          <w:rFonts w:hint="eastAsia" w:ascii="微软雅黑" w:hAnsi="微软雅黑" w:eastAsia="微软雅黑" w:cs="微软雅黑"/>
          <w:b w:val="0"/>
          <w:bCs w:val="0"/>
          <w:spacing w:val="9"/>
          <w:sz w:val="21"/>
          <w:szCs w:val="21"/>
        </w:rPr>
        <w:t>这一作品致力于在复杂的城市环境中，树立将沉浸式自然景观融入建筑的设计新标准。作为未来城市发展的典范，它体现了ASPECT Studios 致力于打造自然系统与人文空间相融合的场所，激发社会活力，促进生物多样性，并增强生态韧性。</w:t>
      </w:r>
    </w:p>
    <w:p w14:paraId="51DF8516">
      <w:pPr>
        <w:pStyle w:val="2"/>
        <w:shd w:val="clear" w:color="auto" w:fill="FFFFFF"/>
        <w:spacing w:before="0" w:beforeAutospacing="0" w:after="0" w:afterAutospacing="0" w:line="360" w:lineRule="exact"/>
        <w:jc w:val="both"/>
        <w:rPr>
          <w:rFonts w:hint="eastAsia" w:ascii="微软雅黑" w:hAnsi="微软雅黑" w:eastAsia="微软雅黑" w:cs="微软雅黑"/>
          <w:b w:val="0"/>
          <w:bCs w:val="0"/>
          <w:spacing w:val="9"/>
        </w:rPr>
      </w:pPr>
    </w:p>
    <w:p w14:paraId="57C33AD2">
      <w:pPr>
        <w:pStyle w:val="2"/>
        <w:shd w:val="clear" w:color="auto" w:fill="FFFFFF"/>
        <w:spacing w:before="0" w:beforeAutospacing="0" w:after="0" w:afterAutospacing="0" w:line="360" w:lineRule="exact"/>
        <w:jc w:val="both"/>
        <w:rPr>
          <w:rFonts w:hint="eastAsia" w:ascii="微软雅黑" w:hAnsi="微软雅黑" w:eastAsia="微软雅黑" w:cs="微软雅黑"/>
          <w:b/>
          <w:bCs/>
          <w:spacing w:val="9"/>
          <w:sz w:val="28"/>
          <w:szCs w:val="28"/>
          <w:shd w:val="clear" w:color="FFFFFF" w:fill="D9D9D9"/>
        </w:rPr>
      </w:pPr>
      <w:r>
        <w:rPr>
          <w:rFonts w:hint="eastAsia" w:ascii="微软雅黑" w:hAnsi="微软雅黑" w:eastAsia="微软雅黑" w:cs="微软雅黑"/>
          <w:b/>
          <w:bCs/>
          <w:spacing w:val="9"/>
          <w:sz w:val="28"/>
          <w:szCs w:val="28"/>
          <w:shd w:val="clear" w:color="FFFFFF" w:fill="D9D9D9"/>
        </w:rPr>
        <w:t>阿里巴巴达摩院南湖园区</w:t>
      </w:r>
    </w:p>
    <w:p w14:paraId="1A848927">
      <w:pPr>
        <w:pStyle w:val="2"/>
        <w:shd w:val="clear" w:color="auto" w:fill="FFFFFF"/>
        <w:spacing w:before="0" w:beforeAutospacing="0" w:after="0" w:afterAutospacing="0" w:line="360" w:lineRule="exact"/>
        <w:jc w:val="both"/>
        <w:rPr>
          <w:rFonts w:hint="eastAsia" w:ascii="微软雅黑" w:hAnsi="微软雅黑" w:eastAsia="微软雅黑" w:cs="微软雅黑"/>
          <w:b w:val="0"/>
          <w:bCs w:val="0"/>
          <w:spacing w:val="9"/>
          <w:sz w:val="21"/>
          <w:szCs w:val="21"/>
        </w:rPr>
      </w:pPr>
      <w:r>
        <w:rPr>
          <w:rFonts w:hint="eastAsia" w:ascii="微软雅黑" w:hAnsi="微软雅黑" w:eastAsia="微软雅黑" w:cs="微软雅黑"/>
          <w:b w:val="0"/>
          <w:bCs w:val="0"/>
          <w:spacing w:val="9"/>
          <w:sz w:val="21"/>
          <w:szCs w:val="21"/>
        </w:rPr>
        <w:t>【项目介绍】项目地处杭州城西科创大走廊的核心区域——余杭区南湖科学中心，基地面积广大，总占地面积约228,100平方米，南北与东西方向的进深都达到接近500米。</w:t>
      </w:r>
    </w:p>
    <w:p w14:paraId="07CA3CA7">
      <w:pPr>
        <w:pStyle w:val="2"/>
        <w:shd w:val="clear" w:color="auto" w:fill="FFFFFF"/>
        <w:spacing w:before="0" w:beforeAutospacing="0" w:after="0" w:afterAutospacing="0" w:line="360" w:lineRule="exact"/>
        <w:jc w:val="both"/>
        <w:rPr>
          <w:rFonts w:hint="eastAsia" w:ascii="微软雅黑" w:hAnsi="微软雅黑" w:eastAsia="微软雅黑" w:cs="微软雅黑"/>
          <w:b w:val="0"/>
          <w:bCs w:val="0"/>
          <w:spacing w:val="9"/>
          <w:sz w:val="21"/>
          <w:szCs w:val="21"/>
        </w:rPr>
      </w:pPr>
      <w:r>
        <w:rPr>
          <w:rFonts w:hint="eastAsia" w:ascii="微软雅黑" w:hAnsi="微软雅黑" w:eastAsia="微软雅黑" w:cs="微软雅黑"/>
          <w:b w:val="0"/>
          <w:bCs w:val="0"/>
          <w:spacing w:val="9"/>
          <w:sz w:val="21"/>
          <w:szCs w:val="21"/>
        </w:rPr>
        <w:t>山顶远眺，缤纷水畔一叶浮生的独特景象，突显达摩院东方底蕴与未来科技相交融的企业气质。设计仿照叶片脉络构建景观及轴带系统，将园区打造成为浮于南湖水面飘然生长的一片菩提叶。</w:t>
      </w:r>
    </w:p>
    <w:p w14:paraId="44331EC6">
      <w:pPr>
        <w:pStyle w:val="2"/>
        <w:shd w:val="clear" w:color="auto" w:fill="FFFFFF"/>
        <w:spacing w:before="0" w:beforeAutospacing="0" w:after="0" w:afterAutospacing="0" w:line="360" w:lineRule="exact"/>
        <w:jc w:val="both"/>
        <w:rPr>
          <w:rFonts w:ascii="微软雅黑" w:hAnsi="微软雅黑" w:eastAsia="微软雅黑" w:cs="微软雅黑"/>
          <w:spacing w:val="9"/>
          <w:sz w:val="24"/>
          <w:szCs w:val="24"/>
        </w:rPr>
      </w:pPr>
    </w:p>
    <w:p w14:paraId="4950333C">
      <w:pPr>
        <w:pStyle w:val="2"/>
        <w:shd w:val="clear" w:color="auto" w:fill="FFFFFF"/>
        <w:spacing w:before="0" w:beforeAutospacing="0" w:after="0" w:afterAutospacing="0" w:line="360" w:lineRule="exact"/>
        <w:jc w:val="both"/>
        <w:rPr>
          <w:rFonts w:hint="eastAsia" w:ascii="微软雅黑" w:hAnsi="微软雅黑" w:eastAsia="微软雅黑" w:cs="微软雅黑"/>
          <w:b/>
          <w:bCs/>
          <w:spacing w:val="9"/>
        </w:rPr>
      </w:pPr>
      <w:r>
        <w:rPr>
          <w:rFonts w:hint="eastAsia" w:ascii="微软雅黑" w:hAnsi="微软雅黑" w:eastAsia="微软雅黑" w:cs="微软雅黑"/>
          <w:b/>
          <w:spacing w:val="8"/>
          <w:sz w:val="28"/>
          <w:szCs w:val="28"/>
          <w:shd w:val="clear" w:color="FFFFFF" w:fill="D9D9D9"/>
        </w:rPr>
        <w:t>杭州祥符桥传统风貌街区城市更新</w:t>
      </w:r>
    </w:p>
    <w:p w14:paraId="67D22851">
      <w:pPr>
        <w:pStyle w:val="2"/>
        <w:shd w:val="clear" w:color="auto" w:fill="FFFFFF"/>
        <w:spacing w:before="0" w:beforeAutospacing="0" w:after="0" w:afterAutospacing="0" w:line="360" w:lineRule="exact"/>
        <w:jc w:val="both"/>
        <w:rPr>
          <w:rFonts w:hint="eastAsia" w:ascii="微软雅黑" w:hAnsi="微软雅黑" w:eastAsia="微软雅黑" w:cs="微软雅黑"/>
          <w:b w:val="0"/>
          <w:bCs w:val="0"/>
          <w:spacing w:val="9"/>
          <w:sz w:val="21"/>
          <w:szCs w:val="21"/>
        </w:rPr>
      </w:pPr>
      <w:r>
        <w:rPr>
          <w:rFonts w:hint="eastAsia" w:ascii="微软雅黑" w:hAnsi="微软雅黑" w:eastAsia="微软雅黑" w:cs="微软雅黑"/>
          <w:b w:val="0"/>
          <w:bCs w:val="0"/>
          <w:spacing w:val="9"/>
          <w:sz w:val="21"/>
          <w:szCs w:val="21"/>
        </w:rPr>
        <w:t>【项目介绍】杭州市近年来最重要的城市更新项目之一——祥符桥传统风貌街区正式开街。项目位于浙江省杭州市拱墅区，是一个延续传统集镇风貌的混合街区，包括文化街区、滨水公共带、小学、养老院以及作为公共活动中心的未来公社。goa大象设计以EPC总承包的形式深度参与了项目从设计到落地的全过程。</w:t>
      </w:r>
    </w:p>
    <w:p w14:paraId="2E2193BB">
      <w:pPr>
        <w:pStyle w:val="2"/>
        <w:shd w:val="clear" w:color="auto" w:fill="FFFFFF"/>
        <w:spacing w:before="0" w:beforeAutospacing="0" w:after="0" w:afterAutospacing="0" w:line="360" w:lineRule="exact"/>
        <w:jc w:val="both"/>
        <w:rPr>
          <w:rFonts w:hint="eastAsia" w:ascii="微软雅黑" w:hAnsi="微软雅黑" w:eastAsia="微软雅黑" w:cs="微软雅黑"/>
          <w:b w:val="0"/>
          <w:bCs w:val="0"/>
          <w:spacing w:val="9"/>
          <w:sz w:val="21"/>
          <w:szCs w:val="21"/>
        </w:rPr>
      </w:pPr>
      <w:r>
        <w:rPr>
          <w:rFonts w:hint="eastAsia" w:ascii="微软雅黑" w:hAnsi="微软雅黑" w:eastAsia="微软雅黑" w:cs="微软雅黑"/>
          <w:b w:val="0"/>
          <w:bCs w:val="0"/>
          <w:spacing w:val="9"/>
          <w:sz w:val="21"/>
          <w:szCs w:val="21"/>
        </w:rPr>
        <w:t>项目以活化更新的理念将传统集镇街巷与现代生活方式相融合，重塑了杭州城北的城市“烟火气”。</w:t>
      </w:r>
    </w:p>
    <w:p w14:paraId="1B5C4548">
      <w:pPr>
        <w:pStyle w:val="2"/>
        <w:shd w:val="clear" w:color="auto" w:fill="FFFFFF"/>
        <w:spacing w:before="0" w:beforeAutospacing="0" w:after="0" w:afterAutospacing="0" w:line="360" w:lineRule="exact"/>
        <w:jc w:val="both"/>
        <w:rPr>
          <w:rFonts w:hint="eastAsia" w:ascii="微软雅黑" w:hAnsi="微软雅黑" w:eastAsia="微软雅黑" w:cs="微软雅黑"/>
          <w:b/>
          <w:bCs/>
          <w:spacing w:val="9"/>
        </w:rPr>
      </w:pPr>
    </w:p>
    <w:p w14:paraId="53243C74">
      <w:pPr>
        <w:spacing w:line="360" w:lineRule="exact"/>
        <w:rPr>
          <w:rFonts w:ascii="微软雅黑" w:hAnsi="微软雅黑" w:eastAsia="微软雅黑" w:cs="微软雅黑"/>
          <w:b/>
          <w:spacing w:val="9"/>
          <w:sz w:val="28"/>
          <w:szCs w:val="28"/>
          <w:shd w:val="clear" w:color="FFFFFF" w:fill="D9D9D9"/>
        </w:rPr>
      </w:pPr>
      <w:bookmarkStart w:id="0" w:name="OLE_LINK1"/>
      <w:r>
        <w:rPr>
          <w:rFonts w:hint="eastAsia" w:ascii="微软雅黑" w:hAnsi="微软雅黑" w:eastAsia="微软雅黑" w:cs="微软雅黑"/>
          <w:b/>
          <w:sz w:val="28"/>
          <w:szCs w:val="28"/>
          <w:shd w:val="clear" w:color="FFFFFF" w:fill="D9D9D9"/>
        </w:rPr>
        <w:t>玉鸟集</w:t>
      </w:r>
    </w:p>
    <w:bookmarkEnd w:id="0"/>
    <w:p w14:paraId="57553E2D">
      <w:pPr>
        <w:pStyle w:val="2"/>
        <w:shd w:val="clear" w:color="auto" w:fill="FFFFFF"/>
        <w:spacing w:before="0" w:beforeAutospacing="0" w:after="0" w:afterAutospacing="0" w:line="360" w:lineRule="exact"/>
        <w:jc w:val="both"/>
        <w:rPr>
          <w:rFonts w:ascii="微软雅黑" w:hAnsi="微软雅黑" w:eastAsia="微软雅黑" w:cs="微软雅黑"/>
          <w:spacing w:val="8"/>
          <w:kern w:val="0"/>
          <w:sz w:val="24"/>
          <w:szCs w:val="24"/>
          <w:shd w:val="clear" w:color="auto" w:fill="FFFFFF"/>
        </w:rPr>
      </w:pPr>
      <w:r>
        <w:rPr>
          <w:rFonts w:hint="eastAsia" w:ascii="微软雅黑" w:hAnsi="微软雅黑" w:eastAsia="微软雅黑" w:cs="微软雅黑"/>
          <w:spacing w:val="8"/>
          <w:kern w:val="0"/>
          <w:sz w:val="21"/>
          <w:szCs w:val="21"/>
          <w:shd w:val="clear" w:color="auto" w:fill="FFFFFF"/>
        </w:rPr>
        <w:t>【项目介绍】玉鸟集坐落于杭州良渚文化村，是万科良渚文化村系列项目的最后一块拼图，也是杭州市政府良渚文化</w:t>
      </w:r>
      <w:r>
        <w:rPr>
          <w:rFonts w:hint="eastAsia" w:ascii="微软雅黑" w:hAnsi="微软雅黑" w:eastAsia="微软雅黑" w:cs="微软雅黑"/>
          <w:b/>
          <w:bCs/>
          <w:spacing w:val="9"/>
          <w:sz w:val="21"/>
          <w:szCs w:val="21"/>
        </w:rPr>
        <w:t>大</w:t>
      </w:r>
      <w:r>
        <w:rPr>
          <w:rFonts w:hint="eastAsia" w:ascii="微软雅黑" w:hAnsi="微软雅黑" w:eastAsia="微软雅黑" w:cs="微软雅黑"/>
          <w:spacing w:val="8"/>
          <w:kern w:val="0"/>
          <w:sz w:val="21"/>
          <w:szCs w:val="21"/>
          <w:shd w:val="clear" w:color="auto" w:fill="FFFFFF"/>
        </w:rPr>
        <w:t>走廊上的重要节点。作为复合型商业街区，它在三条脉络上发生着共鸣：一是穿越几千年时空的良渚文化遗迹之旅；二是近百年来良渚生活发展的时光变迁；三是杭州万科深耕二十余载构建的现代社区蓝图。</w:t>
      </w:r>
      <w:r>
        <w:rPr>
          <w:rFonts w:hint="eastAsia" w:ascii="微软雅黑" w:hAnsi="微软雅黑" w:eastAsia="微软雅黑" w:cs="微软雅黑"/>
          <w:spacing w:val="8"/>
          <w:kern w:val="0"/>
          <w:sz w:val="21"/>
          <w:szCs w:val="21"/>
          <w:shd w:val="clear" w:color="auto" w:fill="FFFFFF"/>
        </w:rPr>
        <w:cr/>
      </w:r>
      <w:r>
        <w:rPr>
          <w:rFonts w:hint="eastAsia" w:ascii="微软雅黑" w:hAnsi="微软雅黑" w:eastAsia="微软雅黑" w:cs="微软雅黑"/>
          <w:spacing w:val="8"/>
          <w:kern w:val="0"/>
          <w:sz w:val="21"/>
          <w:szCs w:val="21"/>
          <w:shd w:val="clear" w:color="auto" w:fill="FFFFFF"/>
        </w:rPr>
        <w:t>新生于这片土地，玉鸟集承载的是良渚未来生活的时代角色，它融合了烟火与文艺、城市与远方。景观设计尊重场地的时间属性，以现代为基底、远古为线索，营造新的良渚商业生活。期望打造轻松治愈的日常，来满足各人群、多时段的使用</w:t>
      </w:r>
      <w:r>
        <w:rPr>
          <w:rFonts w:hint="eastAsia" w:ascii="微软雅黑" w:hAnsi="微软雅黑" w:eastAsia="微软雅黑" w:cs="微软雅黑"/>
          <w:spacing w:val="8"/>
          <w:kern w:val="0"/>
          <w:sz w:val="24"/>
          <w:szCs w:val="24"/>
          <w:shd w:val="clear" w:color="auto" w:fill="FFFFFF"/>
        </w:rPr>
        <w:t>。</w:t>
      </w:r>
      <w:r>
        <w:rPr>
          <w:rFonts w:hint="eastAsia" w:ascii="微软雅黑" w:hAnsi="微软雅黑" w:eastAsia="微软雅黑" w:cs="微软雅黑"/>
          <w:spacing w:val="8"/>
          <w:kern w:val="0"/>
          <w:sz w:val="24"/>
          <w:szCs w:val="24"/>
          <w:shd w:val="clear" w:color="auto" w:fill="FFFFFF"/>
        </w:rPr>
        <w:cr/>
      </w:r>
    </w:p>
    <w:p w14:paraId="1F4B719D">
      <w:pPr>
        <w:rPr>
          <w:rFonts w:ascii="微软雅黑" w:hAnsi="微软雅黑" w:eastAsia="微软雅黑" w:cs="微软雅黑"/>
          <w:b/>
          <w:bCs/>
          <w:sz w:val="28"/>
          <w:szCs w:val="28"/>
        </w:rPr>
      </w:pPr>
      <w:bookmarkStart w:id="1" w:name="OLE_LINK3"/>
      <w:bookmarkStart w:id="2" w:name="OLE_LINK2"/>
      <w:r>
        <w:rPr>
          <w:rFonts w:hint="eastAsia" w:ascii="微软雅黑" w:hAnsi="微软雅黑" w:eastAsia="微软雅黑" w:cs="微软雅黑"/>
          <w:b/>
          <w:bCs/>
          <w:kern w:val="0"/>
          <w:sz w:val="28"/>
          <w:szCs w:val="28"/>
          <w:shd w:val="clear" w:color="FFFFFF" w:fill="D9D9D9"/>
          <w:lang w:val="en-US" w:eastAsia="zh-CN" w:bidi="ar"/>
        </w:rPr>
        <w:t xml:space="preserve">云栖小镇会展中心二期 </w:t>
      </w:r>
    </w:p>
    <w:bookmarkEnd w:id="1"/>
    <w:bookmarkEnd w:id="2"/>
    <w:p w14:paraId="7C1FFD86">
      <w:pPr>
        <w:spacing w:line="360" w:lineRule="exact"/>
        <w:rPr>
          <w:rFonts w:ascii="微软雅黑" w:hAnsi="微软雅黑" w:eastAsia="微软雅黑" w:cs="微软雅黑"/>
          <w:b/>
          <w:bCs/>
          <w:sz w:val="28"/>
          <w:szCs w:val="28"/>
          <w:shd w:val="clear" w:color="FFFFFF" w:fill="D9D9D9"/>
        </w:rPr>
      </w:pPr>
    </w:p>
    <w:p w14:paraId="65C51425">
      <w:pPr>
        <w:spacing w:line="360" w:lineRule="exact"/>
        <w:rPr>
          <w:rFonts w:ascii="微软雅黑" w:hAnsi="微软雅黑" w:eastAsia="微软雅黑" w:cs="微软雅黑"/>
          <w:spacing w:val="8"/>
          <w:kern w:val="0"/>
          <w:sz w:val="24"/>
          <w:szCs w:val="24"/>
          <w:shd w:val="clear" w:color="auto" w:fill="FFFFFF"/>
        </w:rPr>
      </w:pPr>
      <w:r>
        <w:rPr>
          <w:rFonts w:hint="eastAsia" w:ascii="微软雅黑" w:hAnsi="微软雅黑" w:eastAsia="微软雅黑" w:cs="微软雅黑"/>
          <w:spacing w:val="8"/>
          <w:kern w:val="0"/>
          <w:sz w:val="24"/>
          <w:szCs w:val="24"/>
          <w:shd w:val="clear" w:color="auto" w:fill="FFFFFF"/>
        </w:rPr>
        <w:t>【项目介绍】</w:t>
      </w:r>
      <w:r>
        <w:rPr>
          <w:rFonts w:hint="eastAsia" w:ascii="微软雅黑" w:hAnsi="微软雅黑" w:eastAsia="微软雅黑" w:cs="微软雅黑"/>
          <w:sz w:val="21"/>
          <w:szCs w:val="21"/>
        </w:rPr>
        <w:t>项目位于特色小镇的发源地——杭州云栖小镇。这片曾经的“烂尾”工业园，因为愿意接受和拥抱想象力，如今已成为云计算、大数据与人工智能领域的产业高地，每年金秋的“云栖大会”更是成为了全球规模最大的科技盛会。然而这场大会，此前竟然因为找不到“合适”的场馆，连续数届都宁愿在户外召开，这里的“合适”当然不是指场馆的规模或“档次”不够，而是大会发起者、阿里巴巴技术委员会主席王坚博士不希望人们的想象力因为一座场馆而被限制，因此作为这组会展中心的设计者，我们希望暂时抛开经验和“创作欲望”，从本源上思考并尝试突破，而不是让这片土地只是多了座会展中心。</w:t>
      </w:r>
      <w:r>
        <w:rPr>
          <w:rFonts w:hint="eastAsia" w:ascii="微软雅黑" w:hAnsi="微软雅黑" w:eastAsia="微软雅黑" w:cs="微软雅黑"/>
          <w:spacing w:val="8"/>
          <w:kern w:val="0"/>
          <w:sz w:val="21"/>
          <w:szCs w:val="21"/>
          <w:shd w:val="clear" w:color="auto" w:fill="FFFFFF"/>
        </w:rPr>
        <w:cr/>
      </w:r>
    </w:p>
    <w:p w14:paraId="1CA506E2">
      <w:pPr>
        <w:widowControl/>
        <w:jc w:val="left"/>
        <w:rPr>
          <w:rFonts w:ascii="微软雅黑" w:hAnsi="微软雅黑" w:eastAsia="微软雅黑" w:cs="微软雅黑"/>
          <w:b/>
          <w:bCs/>
          <w:sz w:val="28"/>
          <w:szCs w:val="28"/>
        </w:rPr>
      </w:pPr>
      <w:bookmarkStart w:id="3" w:name="OLE_LINK7"/>
      <w:r>
        <w:rPr>
          <w:rFonts w:hint="eastAsia" w:ascii="微软雅黑" w:hAnsi="微软雅黑" w:eastAsia="微软雅黑" w:cs="微软雅黑"/>
          <w:b/>
          <w:bCs/>
          <w:spacing w:val="30"/>
          <w:sz w:val="28"/>
          <w:szCs w:val="28"/>
          <w:shd w:val="clear" w:color="FFFFFF" w:fill="D9D9D9"/>
        </w:rPr>
        <w:t>良渚玉湖公园</w:t>
      </w:r>
    </w:p>
    <w:bookmarkEnd w:id="3"/>
    <w:p w14:paraId="328BB664">
      <w:pPr>
        <w:spacing w:line="360" w:lineRule="exact"/>
        <w:rPr>
          <w:rFonts w:ascii="微软雅黑" w:hAnsi="微软雅黑" w:eastAsia="微软雅黑" w:cs="微软雅黑"/>
          <w:b/>
          <w:bCs/>
          <w:spacing w:val="9"/>
          <w:szCs w:val="21"/>
        </w:rPr>
      </w:pPr>
    </w:p>
    <w:p w14:paraId="2AE055A1">
      <w:pPr>
        <w:spacing w:line="360" w:lineRule="exact"/>
        <w:rPr>
          <w:rFonts w:hint="eastAsia" w:ascii="微软雅黑" w:hAnsi="微软雅黑" w:eastAsia="微软雅黑" w:cs="微软雅黑"/>
          <w:spacing w:val="8"/>
          <w:kern w:val="0"/>
          <w:sz w:val="21"/>
          <w:szCs w:val="21"/>
          <w:shd w:val="clear" w:color="auto" w:fill="FFFFFF"/>
        </w:rPr>
      </w:pPr>
      <w:r>
        <w:rPr>
          <w:rFonts w:hint="eastAsia" w:ascii="微软雅黑" w:hAnsi="微软雅黑" w:eastAsia="微软雅黑" w:cs="微软雅黑"/>
          <w:spacing w:val="8"/>
          <w:kern w:val="0"/>
          <w:sz w:val="21"/>
          <w:szCs w:val="21"/>
          <w:shd w:val="clear" w:color="auto" w:fill="FFFFFF"/>
        </w:rPr>
        <w:t>【项目介绍】良渚玉湖公园通过重塑水脉完善玉湖生境，打造出山丘水城的自然格局，尽显生态智慧。湖面开挖拓展水域，成景观核心与生态基石；暗堤巧置，调控水流，维系水体活力；人工湿地如天然滤器，净化水质，引生物栖息；优化驳岸，水陆交融，亲自然且固堤岸；技术补水保水量水质稳定，促生态循环。诸般举措协同，重塑生态本底，成就独特山丘水城景致。公园结合临水特点，因地制宜，打造了六大景观空间，分别为“星河揽月”“芳渚艺林”“玲珑绿芯”“渚上星湾”“水韵良渚”“玉见未来”。各景观空间独具特色，如“芳渚艺林”，长达440米的水上栈道为游人提供了一种水上森林漫步的体验。“水韵良渚”则是园区精心打造的音乐喷泉，喷泉秀将每周定时开放，水柱最高可达80米，与灯光和音乐同步而舞。</w:t>
      </w:r>
    </w:p>
    <w:p w14:paraId="24F470F6">
      <w:pPr>
        <w:spacing w:line="360" w:lineRule="exact"/>
        <w:rPr>
          <w:rFonts w:hint="eastAsia" w:ascii="微软雅黑" w:hAnsi="微软雅黑" w:eastAsia="微软雅黑" w:cs="微软雅黑"/>
          <w:spacing w:val="8"/>
          <w:kern w:val="0"/>
          <w:sz w:val="21"/>
          <w:szCs w:val="21"/>
          <w:shd w:val="clear" w:color="auto" w:fill="FFFFFF"/>
        </w:rPr>
      </w:pPr>
    </w:p>
    <w:p w14:paraId="4410F5E2">
      <w:pPr>
        <w:spacing w:line="360" w:lineRule="exact"/>
        <w:rPr>
          <w:rFonts w:hint="eastAsia" w:ascii="微软雅黑" w:hAnsi="微软雅黑" w:eastAsia="微软雅黑" w:cs="微软雅黑"/>
          <w:spacing w:val="8"/>
          <w:kern w:val="0"/>
          <w:sz w:val="21"/>
          <w:szCs w:val="21"/>
          <w:shd w:val="clear" w:color="auto" w:fill="FFFFFF"/>
        </w:rPr>
      </w:pPr>
      <w:r>
        <w:rPr>
          <w:rFonts w:hint="eastAsia" w:ascii="微软雅黑" w:hAnsi="微软雅黑" w:eastAsia="微软雅黑" w:cs="微软雅黑"/>
          <w:spacing w:val="8"/>
          <w:kern w:val="0"/>
          <w:sz w:val="21"/>
          <w:szCs w:val="21"/>
          <w:shd w:val="clear" w:color="auto" w:fill="FFFFFF"/>
        </w:rPr>
        <w:t>杭州亚奥万象天地景观提升</w:t>
      </w:r>
    </w:p>
    <w:p w14:paraId="3EED2377">
      <w:pPr>
        <w:spacing w:line="360" w:lineRule="exact"/>
        <w:rPr>
          <w:rFonts w:hint="eastAsia" w:ascii="微软雅黑" w:hAnsi="微软雅黑" w:eastAsia="微软雅黑" w:cs="微软雅黑"/>
          <w:spacing w:val="8"/>
          <w:kern w:val="0"/>
          <w:sz w:val="21"/>
          <w:szCs w:val="21"/>
          <w:shd w:val="clear" w:color="auto" w:fill="FFFFFF"/>
        </w:rPr>
      </w:pPr>
      <w:bookmarkStart w:id="4" w:name="OLE_LINK4"/>
      <w:r>
        <w:rPr>
          <w:rFonts w:hint="eastAsia" w:ascii="微软雅黑" w:hAnsi="微软雅黑" w:eastAsia="微软雅黑" w:cs="微软雅黑"/>
          <w:spacing w:val="8"/>
          <w:kern w:val="0"/>
          <w:sz w:val="21"/>
          <w:szCs w:val="21"/>
          <w:shd w:val="clear" w:color="auto" w:fill="FFFFFF"/>
        </w:rPr>
        <w:t>【项目介绍】</w:t>
      </w:r>
      <w:r>
        <w:rPr>
          <w:rFonts w:hint="eastAsia" w:ascii="微软雅黑" w:hAnsi="微软雅黑" w:eastAsia="微软雅黑" w:cs="微软雅黑"/>
          <w:spacing w:val="8"/>
          <w:kern w:val="0"/>
          <w:sz w:val="21"/>
          <w:szCs w:val="21"/>
          <w:shd w:val="clear" w:color="auto" w:fill="FFFFFF"/>
          <w:lang w:val="en-US" w:eastAsia="zh-CN"/>
        </w:rPr>
        <w:t>作为浙江省的首个万象天地，杭州亚奥万象天地在开业两日客流量即达到33万+人次，已经成为了不少人心目中杭州block街区的新范例。其中也正蕴含着从“目的性消费”向“体验式停留”的城市性变革。</w:t>
      </w:r>
    </w:p>
    <w:p w14:paraId="02E7F927">
      <w:pPr>
        <w:spacing w:line="360" w:lineRule="exact"/>
        <w:rPr>
          <w:rFonts w:ascii="宋体" w:hAnsi="宋体" w:cs="宋体"/>
          <w:b/>
          <w:sz w:val="30"/>
          <w:szCs w:val="30"/>
        </w:rPr>
      </w:pPr>
      <w:r>
        <w:rPr>
          <w:rFonts w:hint="eastAsia" w:ascii="微软雅黑" w:hAnsi="微软雅黑" w:eastAsia="微软雅黑" w:cs="微软雅黑"/>
          <w:spacing w:val="8"/>
          <w:kern w:val="0"/>
          <w:sz w:val="21"/>
          <w:szCs w:val="21"/>
          <w:shd w:val="clear" w:color="auto" w:fill="FFFFFF"/>
        </w:rPr>
        <w:t>项目位于杭州亚运村，并曾作为第19届亚运会技术官员村接待各国宾客。亚奥万象天地的空间主体与景观骨架已于2023年完成施工建造，但未曾向公众开放（彼时景观设计方为PLAND博度），当时项目总体定位为一个具有国际范、精致感的街区。</w:t>
      </w:r>
      <w:bookmarkEnd w:id="4"/>
    </w:p>
    <w:p w14:paraId="00018D40">
      <w:pPr>
        <w:spacing w:line="360" w:lineRule="exact"/>
        <w:rPr>
          <w:rFonts w:ascii="宋体" w:hAnsi="宋体" w:cs="宋体"/>
          <w:b/>
          <w:sz w:val="30"/>
          <w:szCs w:val="30"/>
        </w:rPr>
      </w:pPr>
    </w:p>
    <w:p w14:paraId="26749A72">
      <w:pPr>
        <w:spacing w:line="360" w:lineRule="exact"/>
        <w:rPr>
          <w:rFonts w:ascii="宋体" w:hAnsi="宋体" w:cs="宋体"/>
          <w:b/>
          <w:sz w:val="30"/>
          <w:szCs w:val="30"/>
        </w:rPr>
      </w:pPr>
    </w:p>
    <w:p w14:paraId="372A410A">
      <w:pPr>
        <w:spacing w:line="360" w:lineRule="exact"/>
        <w:rPr>
          <w:rFonts w:ascii="宋体" w:hAnsi="宋体" w:cs="宋体"/>
          <w:b/>
          <w:sz w:val="30"/>
          <w:szCs w:val="30"/>
        </w:rPr>
      </w:pPr>
    </w:p>
    <w:p w14:paraId="242E479A">
      <w:pPr>
        <w:spacing w:line="360" w:lineRule="exact"/>
        <w:rPr>
          <w:rFonts w:ascii="宋体" w:hAnsi="宋体" w:cs="宋体"/>
          <w:b/>
          <w:sz w:val="30"/>
          <w:szCs w:val="30"/>
        </w:rPr>
      </w:pPr>
    </w:p>
    <w:p w14:paraId="350F6880">
      <w:pPr>
        <w:pStyle w:val="2"/>
        <w:spacing w:before="0" w:beforeAutospacing="0" w:after="0" w:afterAutospacing="0"/>
        <w:jc w:val="both"/>
        <w:rPr>
          <w:rFonts w:hint="eastAsia" w:ascii="微软雅黑" w:hAnsi="微软雅黑" w:eastAsia="微软雅黑" w:cs="微软雅黑"/>
          <w:b/>
          <w:kern w:val="2"/>
          <w:shd w:val="clear" w:color="auto" w:fill="FFFFFF"/>
        </w:rPr>
      </w:pPr>
    </w:p>
    <w:p w14:paraId="56D01901">
      <w:pPr>
        <w:pStyle w:val="2"/>
        <w:spacing w:before="0" w:beforeAutospacing="0" w:after="0" w:afterAutospacing="0"/>
        <w:jc w:val="both"/>
        <w:rPr>
          <w:rFonts w:ascii="微软雅黑" w:hAnsi="微软雅黑" w:eastAsia="微软雅黑" w:cs="微软雅黑"/>
          <w:b/>
          <w:kern w:val="2"/>
          <w:shd w:val="clear" w:color="auto" w:fill="FFFFFF"/>
        </w:rPr>
      </w:pPr>
      <w:r>
        <w:rPr>
          <w:rFonts w:hint="eastAsia" w:ascii="微软雅黑" w:hAnsi="微软雅黑" w:eastAsia="微软雅黑" w:cs="微软雅黑"/>
          <w:b/>
          <w:kern w:val="2"/>
          <w:shd w:val="clear" w:color="auto" w:fill="FFFFFF"/>
        </w:rPr>
        <w:t>廊道焕活商脉，景观重构城境——现代公园城市建设与城市更新一体化考察</w:t>
      </w:r>
    </w:p>
    <w:p w14:paraId="17DD1969">
      <w:pPr>
        <w:pStyle w:val="2"/>
        <w:spacing w:before="0" w:beforeAutospacing="0" w:after="0" w:afterAutospacing="0"/>
        <w:ind w:left="297" w:hanging="297" w:hangingChars="100"/>
        <w:jc w:val="center"/>
        <w:rPr>
          <w:rFonts w:ascii="微软雅黑" w:hAnsi="微软雅黑" w:eastAsia="微软雅黑" w:cs="微软雅黑"/>
          <w:b/>
          <w:bCs/>
          <w:kern w:val="2"/>
          <w:sz w:val="30"/>
          <w:szCs w:val="30"/>
          <w:shd w:val="clear" w:color="auto" w:fill="FFFFFF"/>
        </w:rPr>
      </w:pPr>
      <w:r>
        <w:rPr>
          <w:rFonts w:hint="eastAsia"/>
          <w:b/>
          <w:bCs/>
          <w:spacing w:val="-2"/>
          <w:sz w:val="30"/>
          <w:szCs w:val="30"/>
        </w:rPr>
        <w:t>报名回执表</w:t>
      </w:r>
    </w:p>
    <w:tbl>
      <w:tblPr>
        <w:tblStyle w:val="3"/>
        <w:tblpPr w:leftFromText="180" w:rightFromText="180" w:vertAnchor="text" w:tblpXSpec="center" w:tblpY="1"/>
        <w:tblOverlap w:val="never"/>
        <w:tblW w:w="100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560"/>
        <w:gridCol w:w="1842"/>
        <w:gridCol w:w="426"/>
        <w:gridCol w:w="1842"/>
        <w:gridCol w:w="2581"/>
      </w:tblGrid>
      <w:tr w14:paraId="7A1BA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exact"/>
        </w:trPr>
        <w:tc>
          <w:tcPr>
            <w:tcW w:w="1809" w:type="dxa"/>
            <w:tcBorders>
              <w:top w:val="single" w:color="auto" w:sz="4" w:space="0"/>
              <w:left w:val="single" w:color="auto" w:sz="4" w:space="0"/>
              <w:bottom w:val="single" w:color="auto" w:sz="4" w:space="0"/>
              <w:right w:val="single" w:color="auto" w:sz="4" w:space="0"/>
            </w:tcBorders>
            <w:vAlign w:val="center"/>
          </w:tcPr>
          <w:p w14:paraId="6066925F">
            <w:pPr>
              <w:shd w:val="clear" w:color="auto" w:fill="FFFFFF"/>
              <w:spacing w:line="400" w:lineRule="exact"/>
              <w:jc w:val="center"/>
              <w:rPr>
                <w:rFonts w:ascii="宋体" w:hAnsi="宋体" w:cs="宋体"/>
                <w:sz w:val="28"/>
                <w:szCs w:val="28"/>
              </w:rPr>
            </w:pPr>
            <w:r>
              <w:rPr>
                <w:rFonts w:hint="eastAsia" w:ascii="宋体" w:hAnsi="宋体" w:cs="宋体"/>
                <w:sz w:val="28"/>
                <w:szCs w:val="28"/>
              </w:rPr>
              <w:t>单位名称</w:t>
            </w:r>
          </w:p>
        </w:tc>
        <w:tc>
          <w:tcPr>
            <w:tcW w:w="8251" w:type="dxa"/>
            <w:gridSpan w:val="5"/>
            <w:tcBorders>
              <w:top w:val="single" w:color="auto" w:sz="4" w:space="0"/>
              <w:left w:val="single" w:color="auto" w:sz="4" w:space="0"/>
              <w:bottom w:val="single" w:color="auto" w:sz="4" w:space="0"/>
              <w:right w:val="single" w:color="auto" w:sz="4" w:space="0"/>
            </w:tcBorders>
            <w:vAlign w:val="center"/>
          </w:tcPr>
          <w:p w14:paraId="70964614">
            <w:pPr>
              <w:shd w:val="clear" w:color="auto" w:fill="FFFFFF"/>
              <w:spacing w:line="400" w:lineRule="exact"/>
              <w:ind w:firstLine="300" w:firstLineChars="100"/>
              <w:jc w:val="center"/>
              <w:rPr>
                <w:rFonts w:ascii="宋体" w:hAnsi="宋体" w:cs="宋体"/>
                <w:sz w:val="30"/>
              </w:rPr>
            </w:pPr>
          </w:p>
        </w:tc>
      </w:tr>
      <w:tr w14:paraId="3E503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809" w:type="dxa"/>
            <w:tcBorders>
              <w:top w:val="single" w:color="auto" w:sz="4" w:space="0"/>
              <w:left w:val="single" w:color="auto" w:sz="4" w:space="0"/>
              <w:bottom w:val="single" w:color="auto" w:sz="4" w:space="0"/>
              <w:right w:val="single" w:color="auto" w:sz="4" w:space="0"/>
            </w:tcBorders>
            <w:vAlign w:val="center"/>
          </w:tcPr>
          <w:p w14:paraId="6A2CBE09">
            <w:pPr>
              <w:shd w:val="clear" w:color="auto" w:fill="FFFFFF"/>
              <w:spacing w:line="400" w:lineRule="exact"/>
              <w:jc w:val="center"/>
              <w:rPr>
                <w:rFonts w:ascii="宋体" w:hAnsi="宋体" w:cs="宋体"/>
                <w:sz w:val="28"/>
                <w:szCs w:val="28"/>
              </w:rPr>
            </w:pPr>
            <w:r>
              <w:rPr>
                <w:rFonts w:hint="eastAsia" w:ascii="宋体" w:hAnsi="宋体" w:cs="宋体"/>
                <w:sz w:val="28"/>
                <w:szCs w:val="28"/>
              </w:rPr>
              <w:t>通讯地址</w:t>
            </w:r>
          </w:p>
        </w:tc>
        <w:tc>
          <w:tcPr>
            <w:tcW w:w="8251" w:type="dxa"/>
            <w:gridSpan w:val="5"/>
            <w:tcBorders>
              <w:top w:val="single" w:color="auto" w:sz="4" w:space="0"/>
              <w:left w:val="single" w:color="auto" w:sz="4" w:space="0"/>
              <w:bottom w:val="single" w:color="auto" w:sz="4" w:space="0"/>
              <w:right w:val="single" w:color="auto" w:sz="4" w:space="0"/>
            </w:tcBorders>
            <w:vAlign w:val="center"/>
          </w:tcPr>
          <w:p w14:paraId="6B420037">
            <w:pPr>
              <w:shd w:val="clear" w:color="auto" w:fill="FFFFFF"/>
              <w:spacing w:line="400" w:lineRule="exact"/>
              <w:jc w:val="center"/>
              <w:rPr>
                <w:rFonts w:ascii="宋体" w:hAnsi="宋体" w:cs="宋体"/>
                <w:sz w:val="30"/>
              </w:rPr>
            </w:pPr>
          </w:p>
        </w:tc>
      </w:tr>
      <w:tr w14:paraId="36A33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809" w:type="dxa"/>
            <w:tcBorders>
              <w:top w:val="single" w:color="auto" w:sz="4" w:space="0"/>
              <w:left w:val="single" w:color="auto" w:sz="4" w:space="0"/>
              <w:bottom w:val="single" w:color="auto" w:sz="4" w:space="0"/>
              <w:right w:val="single" w:color="auto" w:sz="4" w:space="0"/>
            </w:tcBorders>
            <w:vAlign w:val="center"/>
          </w:tcPr>
          <w:p w14:paraId="633BCB7C">
            <w:pPr>
              <w:shd w:val="clear" w:color="auto" w:fill="FFFFFF"/>
              <w:spacing w:line="400" w:lineRule="exact"/>
              <w:jc w:val="center"/>
              <w:rPr>
                <w:rFonts w:ascii="宋体" w:hAnsi="宋体" w:cs="宋体"/>
                <w:sz w:val="28"/>
                <w:szCs w:val="28"/>
              </w:rPr>
            </w:pPr>
            <w:r>
              <w:rPr>
                <w:rFonts w:hint="eastAsia" w:ascii="宋体" w:hAnsi="宋体" w:cs="宋体"/>
                <w:sz w:val="28"/>
                <w:szCs w:val="28"/>
              </w:rPr>
              <w:t>联 系 人</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644FF256">
            <w:pPr>
              <w:shd w:val="clear" w:color="auto" w:fill="FFFFFF"/>
              <w:spacing w:line="400" w:lineRule="exact"/>
              <w:jc w:val="center"/>
              <w:rPr>
                <w:rFonts w:ascii="宋体" w:hAnsi="宋体" w:cs="宋体"/>
                <w:sz w:val="28"/>
                <w:szCs w:val="28"/>
              </w:rPr>
            </w:pPr>
          </w:p>
        </w:tc>
        <w:tc>
          <w:tcPr>
            <w:tcW w:w="1842" w:type="dxa"/>
            <w:tcBorders>
              <w:top w:val="single" w:color="auto" w:sz="4" w:space="0"/>
              <w:left w:val="single" w:color="auto" w:sz="4" w:space="0"/>
              <w:bottom w:val="single" w:color="auto" w:sz="4" w:space="0"/>
              <w:right w:val="single" w:color="auto" w:sz="4" w:space="0"/>
            </w:tcBorders>
            <w:vAlign w:val="center"/>
          </w:tcPr>
          <w:p w14:paraId="1065BD45">
            <w:pPr>
              <w:shd w:val="clear" w:color="auto" w:fill="FFFFFF"/>
              <w:spacing w:line="400" w:lineRule="exact"/>
              <w:jc w:val="center"/>
              <w:rPr>
                <w:rFonts w:ascii="宋体" w:hAnsi="宋体" w:cs="宋体"/>
                <w:sz w:val="28"/>
                <w:szCs w:val="28"/>
              </w:rPr>
            </w:pPr>
            <w:r>
              <w:rPr>
                <w:rFonts w:hint="eastAsia" w:ascii="宋体" w:hAnsi="宋体" w:cs="宋体"/>
                <w:sz w:val="28"/>
                <w:szCs w:val="28"/>
              </w:rPr>
              <w:t>E-mail/QQ</w:t>
            </w:r>
          </w:p>
        </w:tc>
        <w:tc>
          <w:tcPr>
            <w:tcW w:w="2581" w:type="dxa"/>
            <w:tcBorders>
              <w:top w:val="single" w:color="auto" w:sz="4" w:space="0"/>
              <w:left w:val="single" w:color="auto" w:sz="4" w:space="0"/>
              <w:bottom w:val="single" w:color="auto" w:sz="4" w:space="0"/>
              <w:right w:val="single" w:color="auto" w:sz="4" w:space="0"/>
            </w:tcBorders>
            <w:vAlign w:val="center"/>
          </w:tcPr>
          <w:p w14:paraId="749F8986">
            <w:pPr>
              <w:shd w:val="clear" w:color="auto" w:fill="FFFFFF"/>
              <w:spacing w:line="400" w:lineRule="exact"/>
              <w:jc w:val="center"/>
              <w:rPr>
                <w:rFonts w:ascii="宋体" w:hAnsi="宋体" w:cs="宋体"/>
                <w:sz w:val="28"/>
                <w:szCs w:val="28"/>
              </w:rPr>
            </w:pPr>
          </w:p>
        </w:tc>
      </w:tr>
      <w:tr w14:paraId="29472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exact"/>
        </w:trPr>
        <w:tc>
          <w:tcPr>
            <w:tcW w:w="1809" w:type="dxa"/>
            <w:tcBorders>
              <w:top w:val="single" w:color="auto" w:sz="4" w:space="0"/>
              <w:left w:val="single" w:color="auto" w:sz="4" w:space="0"/>
              <w:bottom w:val="single" w:color="auto" w:sz="4" w:space="0"/>
              <w:right w:val="single" w:color="auto" w:sz="4" w:space="0"/>
            </w:tcBorders>
            <w:vAlign w:val="center"/>
          </w:tcPr>
          <w:p w14:paraId="4AAF3EC6">
            <w:pPr>
              <w:shd w:val="clear" w:color="auto" w:fill="FFFFFF"/>
              <w:spacing w:line="400" w:lineRule="exact"/>
              <w:jc w:val="center"/>
              <w:rPr>
                <w:rFonts w:ascii="宋体" w:hAnsi="宋体" w:cs="宋体"/>
                <w:sz w:val="28"/>
                <w:szCs w:val="28"/>
              </w:rPr>
            </w:pPr>
            <w:r>
              <w:rPr>
                <w:rFonts w:hint="eastAsia" w:ascii="宋体" w:hAnsi="宋体" w:cs="宋体"/>
                <w:sz w:val="28"/>
                <w:szCs w:val="28"/>
              </w:rPr>
              <w:t>电    话</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2B598815">
            <w:pPr>
              <w:shd w:val="clear" w:color="auto" w:fill="FFFFFF"/>
              <w:spacing w:line="400" w:lineRule="exact"/>
              <w:jc w:val="center"/>
              <w:rPr>
                <w:rFonts w:ascii="宋体" w:hAnsi="宋体" w:cs="宋体"/>
                <w:sz w:val="28"/>
                <w:szCs w:val="28"/>
              </w:rPr>
            </w:pPr>
          </w:p>
        </w:tc>
        <w:tc>
          <w:tcPr>
            <w:tcW w:w="1842" w:type="dxa"/>
            <w:tcBorders>
              <w:top w:val="single" w:color="auto" w:sz="4" w:space="0"/>
              <w:left w:val="single" w:color="auto" w:sz="4" w:space="0"/>
              <w:bottom w:val="single" w:color="auto" w:sz="4" w:space="0"/>
              <w:right w:val="single" w:color="auto" w:sz="4" w:space="0"/>
            </w:tcBorders>
            <w:vAlign w:val="center"/>
          </w:tcPr>
          <w:p w14:paraId="0AF66614">
            <w:pPr>
              <w:shd w:val="clear" w:color="auto" w:fill="FFFFFF"/>
              <w:spacing w:line="400" w:lineRule="exact"/>
              <w:jc w:val="center"/>
              <w:rPr>
                <w:rFonts w:ascii="宋体" w:hAnsi="宋体" w:cs="宋体"/>
                <w:sz w:val="28"/>
                <w:szCs w:val="28"/>
              </w:rPr>
            </w:pPr>
            <w:r>
              <w:rPr>
                <w:rFonts w:hint="eastAsia" w:ascii="宋体" w:hAnsi="宋体" w:cs="宋体"/>
                <w:sz w:val="28"/>
                <w:szCs w:val="28"/>
              </w:rPr>
              <w:t>传  真</w:t>
            </w:r>
          </w:p>
        </w:tc>
        <w:tc>
          <w:tcPr>
            <w:tcW w:w="2581" w:type="dxa"/>
            <w:tcBorders>
              <w:top w:val="single" w:color="auto" w:sz="4" w:space="0"/>
              <w:left w:val="single" w:color="auto" w:sz="4" w:space="0"/>
              <w:bottom w:val="single" w:color="auto" w:sz="4" w:space="0"/>
              <w:right w:val="single" w:color="auto" w:sz="4" w:space="0"/>
            </w:tcBorders>
            <w:vAlign w:val="center"/>
          </w:tcPr>
          <w:p w14:paraId="50038394">
            <w:pPr>
              <w:shd w:val="clear" w:color="auto" w:fill="FFFFFF"/>
              <w:spacing w:line="400" w:lineRule="exact"/>
              <w:jc w:val="center"/>
              <w:rPr>
                <w:rFonts w:ascii="宋体" w:hAnsi="宋体" w:cs="宋体"/>
                <w:sz w:val="28"/>
                <w:szCs w:val="28"/>
              </w:rPr>
            </w:pPr>
          </w:p>
        </w:tc>
      </w:tr>
      <w:tr w14:paraId="2D9ED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exact"/>
        </w:trPr>
        <w:tc>
          <w:tcPr>
            <w:tcW w:w="1809" w:type="dxa"/>
            <w:tcBorders>
              <w:top w:val="single" w:color="auto" w:sz="4" w:space="0"/>
              <w:left w:val="single" w:color="auto" w:sz="4" w:space="0"/>
              <w:bottom w:val="single" w:color="auto" w:sz="4" w:space="0"/>
              <w:right w:val="single" w:color="auto" w:sz="4" w:space="0"/>
            </w:tcBorders>
            <w:vAlign w:val="center"/>
          </w:tcPr>
          <w:p w14:paraId="6E154903">
            <w:pPr>
              <w:shd w:val="clear" w:color="auto" w:fill="FFFFFF"/>
              <w:spacing w:line="400" w:lineRule="exact"/>
              <w:jc w:val="center"/>
              <w:rPr>
                <w:rFonts w:ascii="宋体" w:hAnsi="宋体" w:cs="宋体"/>
                <w:sz w:val="28"/>
                <w:szCs w:val="28"/>
              </w:rPr>
            </w:pPr>
            <w:r>
              <w:rPr>
                <w:rFonts w:hint="eastAsia" w:ascii="宋体" w:hAnsi="宋体" w:cs="宋体"/>
                <w:sz w:val="28"/>
                <w:szCs w:val="28"/>
              </w:rPr>
              <w:t>参会代表    名</w:t>
            </w:r>
          </w:p>
        </w:tc>
        <w:tc>
          <w:tcPr>
            <w:tcW w:w="1560" w:type="dxa"/>
            <w:tcBorders>
              <w:top w:val="single" w:color="auto" w:sz="4" w:space="0"/>
              <w:left w:val="single" w:color="auto" w:sz="4" w:space="0"/>
              <w:bottom w:val="single" w:color="auto" w:sz="4" w:space="0"/>
              <w:right w:val="single" w:color="auto" w:sz="4" w:space="0"/>
            </w:tcBorders>
            <w:vAlign w:val="center"/>
          </w:tcPr>
          <w:p w14:paraId="6B70E984">
            <w:pPr>
              <w:shd w:val="clear" w:color="auto" w:fill="FFFFFF"/>
              <w:spacing w:line="400" w:lineRule="exact"/>
              <w:jc w:val="center"/>
              <w:rPr>
                <w:rFonts w:ascii="宋体" w:hAnsi="宋体" w:cs="宋体"/>
                <w:sz w:val="28"/>
                <w:szCs w:val="28"/>
              </w:rPr>
            </w:pPr>
            <w:r>
              <w:rPr>
                <w:rFonts w:hint="eastAsia" w:ascii="宋体" w:hAnsi="宋体" w:cs="宋体"/>
                <w:sz w:val="28"/>
                <w:szCs w:val="28"/>
              </w:rPr>
              <w:t>性 别</w:t>
            </w:r>
          </w:p>
        </w:tc>
        <w:tc>
          <w:tcPr>
            <w:tcW w:w="1842" w:type="dxa"/>
            <w:tcBorders>
              <w:top w:val="single" w:color="auto" w:sz="4" w:space="0"/>
              <w:left w:val="single" w:color="auto" w:sz="4" w:space="0"/>
              <w:bottom w:val="single" w:color="auto" w:sz="4" w:space="0"/>
              <w:right w:val="single" w:color="auto" w:sz="4" w:space="0"/>
            </w:tcBorders>
            <w:vAlign w:val="center"/>
          </w:tcPr>
          <w:p w14:paraId="1D1FFFD3">
            <w:pPr>
              <w:shd w:val="clear" w:color="auto" w:fill="FFFFFF"/>
              <w:spacing w:line="400" w:lineRule="exact"/>
              <w:jc w:val="center"/>
              <w:rPr>
                <w:rFonts w:ascii="宋体" w:hAnsi="宋体" w:cs="宋体"/>
                <w:sz w:val="28"/>
                <w:szCs w:val="28"/>
              </w:rPr>
            </w:pPr>
            <w:r>
              <w:rPr>
                <w:rFonts w:hint="eastAsia" w:ascii="宋体" w:hAnsi="宋体" w:cs="宋体"/>
                <w:sz w:val="28"/>
                <w:szCs w:val="28"/>
              </w:rPr>
              <w:t>职务／职称</w:t>
            </w:r>
          </w:p>
        </w:tc>
        <w:tc>
          <w:tcPr>
            <w:tcW w:w="4849" w:type="dxa"/>
            <w:gridSpan w:val="3"/>
            <w:tcBorders>
              <w:top w:val="single" w:color="auto" w:sz="4" w:space="0"/>
              <w:left w:val="single" w:color="auto" w:sz="4" w:space="0"/>
              <w:bottom w:val="single" w:color="auto" w:sz="4" w:space="0"/>
              <w:right w:val="single" w:color="auto" w:sz="4" w:space="0"/>
            </w:tcBorders>
            <w:vAlign w:val="center"/>
          </w:tcPr>
          <w:p w14:paraId="043E5CE1">
            <w:pPr>
              <w:shd w:val="clear" w:color="auto" w:fill="FFFFFF"/>
              <w:spacing w:line="400" w:lineRule="exact"/>
              <w:jc w:val="center"/>
              <w:rPr>
                <w:rFonts w:ascii="宋体" w:hAnsi="宋体" w:cs="宋体"/>
                <w:sz w:val="28"/>
                <w:szCs w:val="28"/>
              </w:rPr>
            </w:pPr>
            <w:r>
              <w:rPr>
                <w:rFonts w:hint="eastAsia" w:ascii="宋体" w:hAnsi="宋体" w:cs="宋体"/>
                <w:sz w:val="28"/>
                <w:szCs w:val="28"/>
              </w:rPr>
              <w:t>电  话/手  机</w:t>
            </w:r>
          </w:p>
        </w:tc>
      </w:tr>
      <w:tr w14:paraId="7D5F0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exact"/>
        </w:trPr>
        <w:tc>
          <w:tcPr>
            <w:tcW w:w="1809" w:type="dxa"/>
            <w:tcBorders>
              <w:top w:val="single" w:color="auto" w:sz="4" w:space="0"/>
              <w:left w:val="single" w:color="auto" w:sz="4" w:space="0"/>
              <w:bottom w:val="single" w:color="auto" w:sz="4" w:space="0"/>
              <w:right w:val="single" w:color="auto" w:sz="4" w:space="0"/>
            </w:tcBorders>
            <w:vAlign w:val="center"/>
          </w:tcPr>
          <w:p w14:paraId="0E7499BE">
            <w:pPr>
              <w:shd w:val="clear" w:color="auto" w:fill="FFFFFF"/>
              <w:spacing w:line="400" w:lineRule="exact"/>
              <w:jc w:val="center"/>
              <w:rPr>
                <w:rFonts w:ascii="宋体" w:hAnsi="宋体" w:cs="宋体"/>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14:paraId="57B66965">
            <w:pPr>
              <w:shd w:val="clear" w:color="auto" w:fill="FFFFFF"/>
              <w:spacing w:line="400" w:lineRule="exact"/>
              <w:jc w:val="center"/>
              <w:rPr>
                <w:rFonts w:ascii="宋体" w:hAnsi="宋体" w:cs="宋体"/>
                <w:sz w:val="32"/>
              </w:rPr>
            </w:pPr>
          </w:p>
        </w:tc>
        <w:tc>
          <w:tcPr>
            <w:tcW w:w="1842" w:type="dxa"/>
            <w:tcBorders>
              <w:top w:val="single" w:color="auto" w:sz="4" w:space="0"/>
              <w:left w:val="single" w:color="auto" w:sz="4" w:space="0"/>
              <w:bottom w:val="single" w:color="auto" w:sz="4" w:space="0"/>
              <w:right w:val="single" w:color="auto" w:sz="4" w:space="0"/>
            </w:tcBorders>
            <w:vAlign w:val="center"/>
          </w:tcPr>
          <w:p w14:paraId="6088DA08">
            <w:pPr>
              <w:shd w:val="clear" w:color="auto" w:fill="FFFFFF"/>
              <w:spacing w:line="400" w:lineRule="exact"/>
              <w:jc w:val="center"/>
              <w:rPr>
                <w:rFonts w:ascii="宋体" w:hAnsi="宋体" w:cs="宋体"/>
                <w:sz w:val="32"/>
              </w:rPr>
            </w:pPr>
          </w:p>
        </w:tc>
        <w:tc>
          <w:tcPr>
            <w:tcW w:w="4849" w:type="dxa"/>
            <w:gridSpan w:val="3"/>
            <w:tcBorders>
              <w:top w:val="single" w:color="auto" w:sz="4" w:space="0"/>
              <w:left w:val="single" w:color="auto" w:sz="4" w:space="0"/>
              <w:bottom w:val="single" w:color="auto" w:sz="4" w:space="0"/>
              <w:right w:val="single" w:color="auto" w:sz="4" w:space="0"/>
            </w:tcBorders>
            <w:vAlign w:val="center"/>
          </w:tcPr>
          <w:p w14:paraId="78CCFE36">
            <w:pPr>
              <w:shd w:val="clear" w:color="auto" w:fill="FFFFFF"/>
              <w:spacing w:line="400" w:lineRule="exact"/>
              <w:jc w:val="center"/>
              <w:rPr>
                <w:rFonts w:ascii="宋体" w:hAnsi="宋体" w:cs="宋体"/>
                <w:sz w:val="32"/>
              </w:rPr>
            </w:pPr>
          </w:p>
        </w:tc>
      </w:tr>
      <w:tr w14:paraId="36F5E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exact"/>
        </w:trPr>
        <w:tc>
          <w:tcPr>
            <w:tcW w:w="1809" w:type="dxa"/>
            <w:tcBorders>
              <w:top w:val="single" w:color="auto" w:sz="4" w:space="0"/>
              <w:left w:val="single" w:color="auto" w:sz="4" w:space="0"/>
              <w:bottom w:val="single" w:color="auto" w:sz="4" w:space="0"/>
              <w:right w:val="single" w:color="auto" w:sz="4" w:space="0"/>
            </w:tcBorders>
            <w:vAlign w:val="center"/>
          </w:tcPr>
          <w:p w14:paraId="5E127434">
            <w:pPr>
              <w:shd w:val="clear" w:color="auto" w:fill="FFFFFF"/>
              <w:spacing w:line="400" w:lineRule="exact"/>
              <w:jc w:val="center"/>
              <w:rPr>
                <w:rFonts w:ascii="宋体" w:hAnsi="宋体" w:cs="宋体"/>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14:paraId="255E56A8">
            <w:pPr>
              <w:shd w:val="clear" w:color="auto" w:fill="FFFFFF"/>
              <w:spacing w:line="400" w:lineRule="exact"/>
              <w:jc w:val="center"/>
              <w:rPr>
                <w:rFonts w:ascii="宋体" w:hAnsi="宋体" w:cs="宋体"/>
                <w:sz w:val="32"/>
              </w:rPr>
            </w:pPr>
          </w:p>
        </w:tc>
        <w:tc>
          <w:tcPr>
            <w:tcW w:w="1842" w:type="dxa"/>
            <w:tcBorders>
              <w:top w:val="single" w:color="auto" w:sz="4" w:space="0"/>
              <w:left w:val="single" w:color="auto" w:sz="4" w:space="0"/>
              <w:bottom w:val="single" w:color="auto" w:sz="4" w:space="0"/>
              <w:right w:val="single" w:color="auto" w:sz="4" w:space="0"/>
            </w:tcBorders>
            <w:vAlign w:val="center"/>
          </w:tcPr>
          <w:p w14:paraId="0CB32FB4">
            <w:pPr>
              <w:shd w:val="clear" w:color="auto" w:fill="FFFFFF"/>
              <w:spacing w:line="400" w:lineRule="exact"/>
              <w:jc w:val="center"/>
              <w:rPr>
                <w:rFonts w:ascii="宋体" w:hAnsi="宋体" w:cs="宋体"/>
                <w:sz w:val="32"/>
              </w:rPr>
            </w:pPr>
          </w:p>
        </w:tc>
        <w:tc>
          <w:tcPr>
            <w:tcW w:w="4849" w:type="dxa"/>
            <w:gridSpan w:val="3"/>
            <w:tcBorders>
              <w:top w:val="single" w:color="auto" w:sz="4" w:space="0"/>
              <w:left w:val="single" w:color="auto" w:sz="4" w:space="0"/>
              <w:bottom w:val="single" w:color="auto" w:sz="4" w:space="0"/>
              <w:right w:val="single" w:color="auto" w:sz="4" w:space="0"/>
            </w:tcBorders>
            <w:vAlign w:val="center"/>
          </w:tcPr>
          <w:p w14:paraId="1D48B8C4">
            <w:pPr>
              <w:shd w:val="clear" w:color="auto" w:fill="FFFFFF"/>
              <w:spacing w:line="400" w:lineRule="exact"/>
              <w:jc w:val="center"/>
              <w:rPr>
                <w:rFonts w:ascii="宋体" w:hAnsi="宋体" w:cs="宋体"/>
                <w:sz w:val="32"/>
              </w:rPr>
            </w:pPr>
          </w:p>
        </w:tc>
      </w:tr>
      <w:tr w14:paraId="5791F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exact"/>
        </w:trPr>
        <w:tc>
          <w:tcPr>
            <w:tcW w:w="1809" w:type="dxa"/>
            <w:tcBorders>
              <w:top w:val="single" w:color="auto" w:sz="4" w:space="0"/>
              <w:left w:val="single" w:color="auto" w:sz="4" w:space="0"/>
              <w:bottom w:val="single" w:color="auto" w:sz="4" w:space="0"/>
              <w:right w:val="single" w:color="auto" w:sz="4" w:space="0"/>
            </w:tcBorders>
            <w:vAlign w:val="center"/>
          </w:tcPr>
          <w:p w14:paraId="651B21AD">
            <w:pPr>
              <w:shd w:val="clear" w:color="auto" w:fill="FFFFFF"/>
              <w:spacing w:line="400" w:lineRule="exact"/>
              <w:jc w:val="center"/>
              <w:rPr>
                <w:rFonts w:ascii="宋体" w:hAnsi="宋体" w:cs="宋体"/>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14:paraId="19D608EF">
            <w:pPr>
              <w:shd w:val="clear" w:color="auto" w:fill="FFFFFF"/>
              <w:spacing w:line="400" w:lineRule="exact"/>
              <w:jc w:val="center"/>
              <w:rPr>
                <w:rFonts w:ascii="宋体" w:hAnsi="宋体" w:cs="宋体"/>
                <w:sz w:val="32"/>
              </w:rPr>
            </w:pPr>
          </w:p>
        </w:tc>
        <w:tc>
          <w:tcPr>
            <w:tcW w:w="1842" w:type="dxa"/>
            <w:tcBorders>
              <w:top w:val="single" w:color="auto" w:sz="4" w:space="0"/>
              <w:left w:val="single" w:color="auto" w:sz="4" w:space="0"/>
              <w:bottom w:val="single" w:color="auto" w:sz="4" w:space="0"/>
              <w:right w:val="single" w:color="auto" w:sz="4" w:space="0"/>
            </w:tcBorders>
            <w:vAlign w:val="center"/>
          </w:tcPr>
          <w:p w14:paraId="1B0D0FCF">
            <w:pPr>
              <w:shd w:val="clear" w:color="auto" w:fill="FFFFFF"/>
              <w:spacing w:line="400" w:lineRule="exact"/>
              <w:jc w:val="center"/>
              <w:rPr>
                <w:rFonts w:ascii="宋体" w:hAnsi="宋体" w:cs="宋体"/>
                <w:sz w:val="32"/>
              </w:rPr>
            </w:pPr>
          </w:p>
        </w:tc>
        <w:tc>
          <w:tcPr>
            <w:tcW w:w="4849" w:type="dxa"/>
            <w:gridSpan w:val="3"/>
            <w:tcBorders>
              <w:top w:val="single" w:color="auto" w:sz="4" w:space="0"/>
              <w:left w:val="single" w:color="auto" w:sz="4" w:space="0"/>
              <w:bottom w:val="single" w:color="auto" w:sz="4" w:space="0"/>
              <w:right w:val="single" w:color="auto" w:sz="4" w:space="0"/>
            </w:tcBorders>
            <w:vAlign w:val="center"/>
          </w:tcPr>
          <w:p w14:paraId="41BD01D2">
            <w:pPr>
              <w:shd w:val="clear" w:color="auto" w:fill="FFFFFF"/>
              <w:spacing w:line="400" w:lineRule="exact"/>
              <w:jc w:val="center"/>
              <w:rPr>
                <w:rFonts w:ascii="宋体" w:hAnsi="宋体" w:cs="宋体"/>
                <w:sz w:val="32"/>
              </w:rPr>
            </w:pPr>
          </w:p>
        </w:tc>
      </w:tr>
      <w:tr w14:paraId="15252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exact"/>
        </w:trPr>
        <w:tc>
          <w:tcPr>
            <w:tcW w:w="1809" w:type="dxa"/>
            <w:tcBorders>
              <w:top w:val="single" w:color="auto" w:sz="4" w:space="0"/>
              <w:left w:val="single" w:color="auto" w:sz="4" w:space="0"/>
              <w:bottom w:val="single" w:color="auto" w:sz="4" w:space="0"/>
              <w:right w:val="single" w:color="auto" w:sz="4" w:space="0"/>
            </w:tcBorders>
            <w:vAlign w:val="center"/>
          </w:tcPr>
          <w:p w14:paraId="66DDC32F">
            <w:pPr>
              <w:shd w:val="clear" w:color="auto" w:fill="FFFFFF"/>
              <w:spacing w:line="400" w:lineRule="exact"/>
              <w:jc w:val="center"/>
              <w:rPr>
                <w:rFonts w:ascii="宋体" w:hAnsi="宋体" w:cs="宋体"/>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14:paraId="51E07CAE">
            <w:pPr>
              <w:shd w:val="clear" w:color="auto" w:fill="FFFFFF"/>
              <w:spacing w:line="400" w:lineRule="exact"/>
              <w:jc w:val="center"/>
              <w:rPr>
                <w:rFonts w:ascii="宋体" w:hAnsi="宋体" w:cs="宋体"/>
                <w:sz w:val="32"/>
              </w:rPr>
            </w:pPr>
          </w:p>
        </w:tc>
        <w:tc>
          <w:tcPr>
            <w:tcW w:w="1842" w:type="dxa"/>
            <w:tcBorders>
              <w:top w:val="single" w:color="auto" w:sz="4" w:space="0"/>
              <w:left w:val="single" w:color="auto" w:sz="4" w:space="0"/>
              <w:bottom w:val="single" w:color="auto" w:sz="4" w:space="0"/>
              <w:right w:val="single" w:color="auto" w:sz="4" w:space="0"/>
            </w:tcBorders>
            <w:vAlign w:val="center"/>
          </w:tcPr>
          <w:p w14:paraId="78DCEF8F">
            <w:pPr>
              <w:shd w:val="clear" w:color="auto" w:fill="FFFFFF"/>
              <w:spacing w:line="400" w:lineRule="exact"/>
              <w:jc w:val="center"/>
              <w:rPr>
                <w:rFonts w:ascii="宋体" w:hAnsi="宋体" w:cs="宋体"/>
                <w:sz w:val="32"/>
              </w:rPr>
            </w:pPr>
          </w:p>
        </w:tc>
        <w:tc>
          <w:tcPr>
            <w:tcW w:w="4849" w:type="dxa"/>
            <w:gridSpan w:val="3"/>
            <w:tcBorders>
              <w:top w:val="single" w:color="auto" w:sz="4" w:space="0"/>
              <w:left w:val="single" w:color="auto" w:sz="4" w:space="0"/>
              <w:bottom w:val="single" w:color="auto" w:sz="4" w:space="0"/>
              <w:right w:val="single" w:color="auto" w:sz="4" w:space="0"/>
            </w:tcBorders>
            <w:vAlign w:val="center"/>
          </w:tcPr>
          <w:p w14:paraId="0EF98E60">
            <w:pPr>
              <w:shd w:val="clear" w:color="auto" w:fill="FFFFFF"/>
              <w:spacing w:line="400" w:lineRule="exact"/>
              <w:jc w:val="center"/>
              <w:rPr>
                <w:rFonts w:ascii="宋体" w:hAnsi="宋体" w:cs="宋体"/>
                <w:sz w:val="32"/>
              </w:rPr>
            </w:pPr>
          </w:p>
        </w:tc>
      </w:tr>
      <w:tr w14:paraId="453B6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exact"/>
        </w:trPr>
        <w:tc>
          <w:tcPr>
            <w:tcW w:w="1809" w:type="dxa"/>
            <w:tcBorders>
              <w:top w:val="single" w:color="auto" w:sz="4" w:space="0"/>
              <w:left w:val="single" w:color="auto" w:sz="4" w:space="0"/>
              <w:bottom w:val="single" w:color="auto" w:sz="4" w:space="0"/>
              <w:right w:val="single" w:color="auto" w:sz="4" w:space="0"/>
            </w:tcBorders>
            <w:vAlign w:val="center"/>
          </w:tcPr>
          <w:p w14:paraId="60BC82DB">
            <w:pPr>
              <w:shd w:val="clear" w:color="auto" w:fill="FFFFFF"/>
              <w:spacing w:line="400" w:lineRule="exact"/>
              <w:jc w:val="center"/>
              <w:rPr>
                <w:rFonts w:ascii="宋体" w:hAnsi="宋体" w:cs="宋体"/>
                <w:sz w:val="28"/>
                <w:szCs w:val="28"/>
              </w:rPr>
            </w:pPr>
            <w:r>
              <w:rPr>
                <w:rFonts w:hint="eastAsia" w:ascii="宋体" w:hAnsi="宋体" w:cs="宋体"/>
                <w:sz w:val="28"/>
                <w:szCs w:val="28"/>
              </w:rPr>
              <w:t>费用合计</w:t>
            </w:r>
          </w:p>
        </w:tc>
        <w:tc>
          <w:tcPr>
            <w:tcW w:w="8251" w:type="dxa"/>
            <w:gridSpan w:val="5"/>
            <w:tcBorders>
              <w:top w:val="single" w:color="auto" w:sz="4" w:space="0"/>
              <w:left w:val="single" w:color="auto" w:sz="4" w:space="0"/>
              <w:bottom w:val="single" w:color="auto" w:sz="4" w:space="0"/>
              <w:right w:val="single" w:color="auto" w:sz="4" w:space="0"/>
            </w:tcBorders>
            <w:vAlign w:val="center"/>
          </w:tcPr>
          <w:p w14:paraId="60035872">
            <w:pPr>
              <w:shd w:val="clear" w:color="auto" w:fill="FFFFFF"/>
              <w:spacing w:line="400" w:lineRule="exact"/>
              <w:jc w:val="left"/>
              <w:rPr>
                <w:rFonts w:ascii="宋体" w:hAnsi="宋体" w:cs="宋体"/>
                <w:sz w:val="24"/>
              </w:rPr>
            </w:pPr>
            <w:r>
              <w:rPr>
                <w:rFonts w:hint="eastAsia" w:ascii="宋体" w:hAnsi="宋体" w:cs="宋体"/>
                <w:sz w:val="24"/>
              </w:rPr>
              <w:t>(大写人民币)伍仟叁佰陆拾元整     (小写)￥</w:t>
            </w:r>
            <w:r>
              <w:rPr>
                <w:rFonts w:hint="eastAsia" w:ascii="宋体" w:hAnsi="宋体" w:cs="宋体"/>
                <w:sz w:val="24"/>
                <w:u w:val="single"/>
                <w:lang w:val="en-US" w:eastAsia="zh-CN"/>
              </w:rPr>
              <w:t xml:space="preserve">    </w:t>
            </w:r>
            <w:r>
              <w:rPr>
                <w:rFonts w:hint="eastAsia" w:ascii="宋体" w:hAnsi="宋体" w:cs="宋体"/>
                <w:sz w:val="24"/>
              </w:rPr>
              <w:t>元</w:t>
            </w:r>
          </w:p>
        </w:tc>
      </w:tr>
      <w:tr w14:paraId="62A92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8" w:hRule="exact"/>
        </w:trPr>
        <w:tc>
          <w:tcPr>
            <w:tcW w:w="1809" w:type="dxa"/>
            <w:tcBorders>
              <w:top w:val="single" w:color="auto" w:sz="4" w:space="0"/>
              <w:left w:val="single" w:color="auto" w:sz="4" w:space="0"/>
              <w:bottom w:val="single" w:color="auto" w:sz="4" w:space="0"/>
              <w:right w:val="single" w:color="auto" w:sz="4" w:space="0"/>
            </w:tcBorders>
            <w:vAlign w:val="center"/>
          </w:tcPr>
          <w:p w14:paraId="4498520D">
            <w:pPr>
              <w:shd w:val="clear" w:color="auto" w:fill="FFFFFF"/>
              <w:spacing w:line="400" w:lineRule="exact"/>
              <w:jc w:val="center"/>
              <w:rPr>
                <w:rFonts w:ascii="宋体" w:hAnsi="宋体" w:cs="宋体"/>
                <w:sz w:val="28"/>
                <w:szCs w:val="28"/>
              </w:rPr>
            </w:pPr>
            <w:r>
              <w:rPr>
                <w:rFonts w:hint="eastAsia" w:ascii="宋体" w:hAnsi="宋体" w:cs="宋体"/>
                <w:sz w:val="28"/>
                <w:szCs w:val="28"/>
              </w:rPr>
              <w:t>会务账户</w:t>
            </w:r>
          </w:p>
        </w:tc>
        <w:tc>
          <w:tcPr>
            <w:tcW w:w="8251" w:type="dxa"/>
            <w:gridSpan w:val="5"/>
            <w:tcBorders>
              <w:top w:val="single" w:color="auto" w:sz="4" w:space="0"/>
              <w:bottom w:val="single" w:color="auto" w:sz="4" w:space="0"/>
              <w:right w:val="single" w:color="auto" w:sz="4" w:space="0"/>
            </w:tcBorders>
            <w:vAlign w:val="center"/>
          </w:tcPr>
          <w:p w14:paraId="0741E55E">
            <w:pPr>
              <w:shd w:val="clear" w:color="auto" w:fill="FFFFFF"/>
              <w:spacing w:line="400" w:lineRule="exact"/>
              <w:jc w:val="left"/>
              <w:rPr>
                <w:rFonts w:ascii="宋体" w:hAnsi="宋体" w:cs="宋体"/>
                <w:sz w:val="24"/>
              </w:rPr>
            </w:pPr>
            <w:r>
              <w:rPr>
                <w:rFonts w:hint="eastAsia" w:ascii="宋体" w:hAnsi="宋体" w:cs="宋体"/>
                <w:sz w:val="24"/>
              </w:rPr>
              <w:t>收款单位：</w:t>
            </w:r>
            <w:r>
              <w:rPr>
                <w:rFonts w:hint="eastAsia" w:ascii="宋体" w:hAnsi="宋体" w:cs="宋体"/>
                <w:color w:val="000000"/>
                <w:kern w:val="0"/>
                <w:szCs w:val="21"/>
              </w:rPr>
              <w:t>东方智赢（北京）企业管理有限公司</w:t>
            </w:r>
          </w:p>
          <w:p w14:paraId="195252F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adjustRightInd w:val="0"/>
              <w:snapToGrid w:val="0"/>
              <w:spacing w:before="156" w:line="220" w:lineRule="exact"/>
              <w:rPr>
                <w:rFonts w:ascii="宋体" w:hAnsi="宋体" w:cs="宋体"/>
              </w:rPr>
            </w:pPr>
            <w:r>
              <w:rPr>
                <w:rFonts w:hint="eastAsia" w:ascii="宋体" w:hAnsi="宋体" w:cs="宋体"/>
                <w:sz w:val="24"/>
              </w:rPr>
              <w:t>开 户 行：</w:t>
            </w:r>
            <w:r>
              <w:rPr>
                <w:rFonts w:hint="eastAsia" w:ascii="宋体" w:hAnsi="宋体" w:cs="宋体"/>
                <w:color w:val="000000"/>
                <w:kern w:val="0"/>
                <w:szCs w:val="21"/>
              </w:rPr>
              <w:t>中国工商银行北京光华路支行</w:t>
            </w:r>
          </w:p>
          <w:p w14:paraId="4FD8F3D6">
            <w:pPr>
              <w:shd w:val="clear" w:color="auto" w:fill="FFFFFF"/>
              <w:spacing w:line="400" w:lineRule="exact"/>
              <w:jc w:val="left"/>
              <w:rPr>
                <w:rFonts w:ascii="宋体" w:hAnsi="宋体" w:cs="宋体"/>
                <w:sz w:val="24"/>
              </w:rPr>
            </w:pPr>
            <w:r>
              <w:rPr>
                <w:rFonts w:hint="eastAsia" w:ascii="宋体" w:hAnsi="宋体" w:cs="宋体"/>
                <w:sz w:val="24"/>
              </w:rPr>
              <w:t>账    号：</w:t>
            </w:r>
            <w:r>
              <w:rPr>
                <w:rFonts w:hint="eastAsia" w:ascii="宋体" w:hAnsi="宋体" w:cs="宋体"/>
                <w:color w:val="000000"/>
                <w:kern w:val="0"/>
                <w:szCs w:val="21"/>
              </w:rPr>
              <w:t>0200 2086 0920 0050 124</w:t>
            </w:r>
          </w:p>
        </w:tc>
      </w:tr>
      <w:tr w14:paraId="0FF5B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809" w:type="dxa"/>
            <w:vMerge w:val="restart"/>
            <w:tcBorders>
              <w:top w:val="single" w:color="auto" w:sz="4" w:space="0"/>
              <w:left w:val="single" w:color="auto" w:sz="4" w:space="0"/>
              <w:right w:val="single" w:color="auto" w:sz="4" w:space="0"/>
            </w:tcBorders>
            <w:vAlign w:val="center"/>
          </w:tcPr>
          <w:p w14:paraId="63AEEBAB">
            <w:pPr>
              <w:shd w:val="clear" w:color="auto" w:fill="FFFFFF"/>
              <w:spacing w:line="400" w:lineRule="exact"/>
              <w:jc w:val="center"/>
              <w:rPr>
                <w:rFonts w:ascii="宋体" w:hAnsi="宋体" w:cs="宋体"/>
                <w:sz w:val="28"/>
                <w:szCs w:val="28"/>
              </w:rPr>
            </w:pPr>
            <w:r>
              <w:rPr>
                <w:rFonts w:hint="eastAsia" w:ascii="宋体" w:hAnsi="宋体" w:cs="宋体"/>
                <w:sz w:val="28"/>
                <w:szCs w:val="28"/>
              </w:rPr>
              <w:t>发票类型</w:t>
            </w:r>
          </w:p>
        </w:tc>
        <w:tc>
          <w:tcPr>
            <w:tcW w:w="8251" w:type="dxa"/>
            <w:gridSpan w:val="5"/>
            <w:tcBorders>
              <w:top w:val="single" w:color="auto" w:sz="4" w:space="0"/>
              <w:right w:val="single" w:color="auto" w:sz="4" w:space="0"/>
            </w:tcBorders>
            <w:vAlign w:val="center"/>
          </w:tcPr>
          <w:p w14:paraId="6B94BDD8">
            <w:pPr>
              <w:spacing w:line="400" w:lineRule="exact"/>
              <w:jc w:val="center"/>
              <w:rPr>
                <w:rFonts w:ascii="宋体" w:hAnsi="宋体" w:cs="宋体"/>
                <w:bCs/>
                <w:kern w:val="0"/>
                <w:sz w:val="24"/>
              </w:rPr>
            </w:pPr>
            <w:bookmarkStart w:id="5" w:name="_GoBack"/>
            <w:bookmarkEnd w:id="5"/>
            <w:r>
              <w:rPr>
                <w:rFonts w:hint="eastAsia" w:ascii="宋体" w:hAnsi="宋体" w:cs="宋体"/>
                <w:bCs/>
                <w:sz w:val="24"/>
                <w:lang w:eastAsia="zh-CN"/>
              </w:rPr>
              <w:t>□</w:t>
            </w:r>
            <w:r>
              <w:rPr>
                <w:rFonts w:hint="eastAsia" w:ascii="宋体" w:hAnsi="宋体" w:cs="宋体"/>
                <w:b/>
                <w:bCs/>
                <w:sz w:val="24"/>
              </w:rPr>
              <w:t>国税普通发票</w:t>
            </w:r>
            <w:r>
              <w:rPr>
                <w:rFonts w:hint="eastAsia" w:ascii="宋体" w:hAnsi="宋体" w:cs="宋体"/>
                <w:bCs/>
                <w:sz w:val="24"/>
              </w:rPr>
              <w:t xml:space="preserve">           </w:t>
            </w:r>
            <w:r>
              <w:rPr>
                <w:rFonts w:hint="eastAsia" w:ascii="宋体" w:hAnsi="宋体" w:cs="宋体"/>
                <w:bCs/>
                <w:sz w:val="24"/>
              </w:rPr>
              <w:sym w:font="Wingdings 2" w:char="00A3"/>
            </w:r>
            <w:r>
              <w:rPr>
                <w:rFonts w:hint="eastAsia" w:ascii="宋体" w:hAnsi="宋体" w:cs="宋体"/>
                <w:b/>
                <w:bCs/>
                <w:sz w:val="24"/>
              </w:rPr>
              <w:t>国税增值税专用发票</w:t>
            </w:r>
          </w:p>
        </w:tc>
      </w:tr>
      <w:tr w14:paraId="1A44B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1809" w:type="dxa"/>
            <w:vMerge w:val="continue"/>
            <w:tcBorders>
              <w:left w:val="single" w:color="auto" w:sz="4" w:space="0"/>
              <w:bottom w:val="single" w:color="auto" w:sz="4" w:space="0"/>
              <w:right w:val="single" w:color="auto" w:sz="4" w:space="0"/>
            </w:tcBorders>
            <w:vAlign w:val="center"/>
          </w:tcPr>
          <w:p w14:paraId="2CDFAE2C">
            <w:pPr>
              <w:shd w:val="clear" w:color="auto" w:fill="FFFFFF"/>
              <w:spacing w:line="400" w:lineRule="exact"/>
              <w:jc w:val="center"/>
              <w:rPr>
                <w:rFonts w:ascii="宋体" w:hAnsi="宋体" w:cs="宋体"/>
                <w:sz w:val="28"/>
                <w:szCs w:val="28"/>
              </w:rPr>
            </w:pPr>
          </w:p>
        </w:tc>
        <w:tc>
          <w:tcPr>
            <w:tcW w:w="8251" w:type="dxa"/>
            <w:gridSpan w:val="5"/>
            <w:tcBorders>
              <w:top w:val="single" w:color="auto" w:sz="4" w:space="0"/>
              <w:bottom w:val="single" w:color="auto" w:sz="4" w:space="0"/>
              <w:right w:val="single" w:color="auto" w:sz="4" w:space="0"/>
            </w:tcBorders>
            <w:vAlign w:val="center"/>
          </w:tcPr>
          <w:p w14:paraId="7B9B1474">
            <w:pPr>
              <w:jc w:val="left"/>
            </w:pPr>
            <w:r>
              <w:rPr>
                <w:rFonts w:hint="eastAsia"/>
              </w:rPr>
              <w:t>注：本次会议费发票由东方智赢（北京）企业管理有限公司开具，</w:t>
            </w:r>
          </w:p>
        </w:tc>
      </w:tr>
      <w:tr w14:paraId="08A660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1" w:hRule="atLeast"/>
        </w:trPr>
        <w:tc>
          <w:tcPr>
            <w:tcW w:w="1809" w:type="dxa"/>
            <w:tcBorders>
              <w:left w:val="single" w:color="auto" w:sz="4" w:space="0"/>
              <w:right w:val="single" w:color="auto" w:sz="4" w:space="0"/>
            </w:tcBorders>
            <w:vAlign w:val="center"/>
          </w:tcPr>
          <w:p w14:paraId="7A291A81">
            <w:pPr>
              <w:spacing w:line="260" w:lineRule="exact"/>
              <w:ind w:left="-845" w:firstLine="845"/>
              <w:rPr>
                <w:rFonts w:asciiTheme="majorEastAsia" w:hAnsiTheme="majorEastAsia" w:eastAsiaTheme="majorEastAsia" w:cstheme="majorEastAsia"/>
                <w:szCs w:val="21"/>
              </w:rPr>
            </w:pPr>
            <w:r>
              <w:rPr>
                <w:rStyle w:val="5"/>
                <w:rFonts w:hint="eastAsia" w:asciiTheme="majorEastAsia" w:hAnsiTheme="majorEastAsia" w:eastAsiaTheme="majorEastAsia" w:cstheme="majorEastAsia"/>
                <w:b w:val="0"/>
                <w:szCs w:val="21"/>
              </w:rPr>
              <w:t>﹡住    宿</w:t>
            </w:r>
          </w:p>
        </w:tc>
        <w:tc>
          <w:tcPr>
            <w:tcW w:w="8251" w:type="dxa"/>
            <w:gridSpan w:val="5"/>
            <w:tcBorders>
              <w:top w:val="single" w:color="auto" w:sz="4" w:space="0"/>
              <w:bottom w:val="single" w:color="auto" w:sz="4" w:space="0"/>
              <w:right w:val="single" w:color="auto" w:sz="4" w:space="0"/>
            </w:tcBorders>
            <w:vAlign w:val="center"/>
          </w:tcPr>
          <w:tbl>
            <w:tblPr>
              <w:tblStyle w:val="3"/>
              <w:tblW w:w="8179" w:type="dxa"/>
              <w:jc w:val="center"/>
              <w:tblCellSpacing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9"/>
            </w:tblGrid>
            <w:tr w14:paraId="5F8C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CellSpacing w:w="11" w:type="dxa"/>
                <w:jc w:val="center"/>
              </w:trPr>
              <w:tc>
                <w:tcPr>
                  <w:tcW w:w="8135" w:type="dxa"/>
                  <w:vAlign w:val="center"/>
                </w:tcPr>
                <w:p w14:paraId="4CCC68B8">
                  <w:pPr>
                    <w:jc w:val="left"/>
                    <w:rPr>
                      <w:rStyle w:val="5"/>
                      <w:rFonts w:asciiTheme="majorEastAsia" w:hAnsiTheme="majorEastAsia" w:eastAsiaTheme="majorEastAsia" w:cstheme="majorEastAsia"/>
                      <w:b w:val="0"/>
                      <w:szCs w:val="21"/>
                    </w:rPr>
                  </w:pPr>
                  <w:r>
                    <w:rPr>
                      <w:rStyle w:val="5"/>
                      <w:rFonts w:hint="eastAsia" w:asciiTheme="majorEastAsia" w:hAnsiTheme="majorEastAsia" w:eastAsiaTheme="majorEastAsia" w:cstheme="majorEastAsia"/>
                      <w:b w:val="0"/>
                      <w:szCs w:val="21"/>
                    </w:rPr>
                    <w:t>杭州酒店待定，确定了酒店微信通知</w:t>
                  </w:r>
                </w:p>
              </w:tc>
            </w:tr>
            <w:tr w14:paraId="1EA8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tblCellSpacing w:w="11" w:type="dxa"/>
                <w:jc w:val="center"/>
              </w:trPr>
              <w:tc>
                <w:tcPr>
                  <w:tcW w:w="8135" w:type="dxa"/>
                  <w:vAlign w:val="center"/>
                </w:tcPr>
                <w:p w14:paraId="3BAC6E8B">
                  <w:pPr>
                    <w:spacing w:line="260" w:lineRule="exact"/>
                    <w:rPr>
                      <w:rStyle w:val="5"/>
                      <w:rFonts w:asciiTheme="majorEastAsia" w:hAnsiTheme="majorEastAsia" w:eastAsiaTheme="majorEastAsia" w:cstheme="majorEastAsia"/>
                      <w:b w:val="0"/>
                      <w:szCs w:val="21"/>
                    </w:rPr>
                  </w:pPr>
                  <w:r>
                    <w:rPr>
                      <w:rStyle w:val="5"/>
                      <w:rFonts w:hint="eastAsia" w:asciiTheme="majorEastAsia" w:hAnsiTheme="majorEastAsia" w:eastAsiaTheme="majorEastAsia" w:cstheme="majorEastAsia"/>
                      <w:b w:val="0"/>
                      <w:szCs w:val="21"/>
                    </w:rPr>
                    <w:t>从</w:t>
                  </w:r>
                  <w:r>
                    <w:rPr>
                      <w:rStyle w:val="5"/>
                      <w:rFonts w:hint="eastAsia" w:asciiTheme="majorEastAsia" w:hAnsiTheme="majorEastAsia" w:eastAsiaTheme="majorEastAsia" w:cstheme="majorEastAsia"/>
                      <w:b w:val="0"/>
                      <w:szCs w:val="21"/>
                      <w:lang w:val="en-US" w:eastAsia="zh-CN"/>
                    </w:rPr>
                    <w:t>11</w:t>
                  </w:r>
                  <w:r>
                    <w:rPr>
                      <w:rStyle w:val="5"/>
                      <w:rFonts w:hint="eastAsia" w:asciiTheme="majorEastAsia" w:hAnsiTheme="majorEastAsia" w:eastAsiaTheme="majorEastAsia" w:cstheme="majorEastAsia"/>
                      <w:b w:val="0"/>
                      <w:szCs w:val="21"/>
                    </w:rPr>
                    <w:t>月</w:t>
                  </w:r>
                  <w:r>
                    <w:rPr>
                      <w:rStyle w:val="5"/>
                      <w:rFonts w:hint="eastAsia" w:asciiTheme="majorEastAsia" w:hAnsiTheme="majorEastAsia" w:eastAsiaTheme="majorEastAsia" w:cstheme="majorEastAsia"/>
                      <w:b w:val="0"/>
                      <w:szCs w:val="21"/>
                      <w:u w:val="single"/>
                    </w:rPr>
                    <w:t xml:space="preserve">   </w:t>
                  </w:r>
                  <w:r>
                    <w:rPr>
                      <w:rStyle w:val="5"/>
                      <w:rFonts w:hint="eastAsia" w:asciiTheme="majorEastAsia" w:hAnsiTheme="majorEastAsia" w:eastAsiaTheme="majorEastAsia" w:cstheme="majorEastAsia"/>
                      <w:b w:val="0"/>
                      <w:szCs w:val="21"/>
                    </w:rPr>
                    <w:t>日入住，预定</w:t>
                  </w:r>
                  <w:r>
                    <w:rPr>
                      <w:rStyle w:val="5"/>
                      <w:rFonts w:hint="eastAsia" w:asciiTheme="majorEastAsia" w:hAnsiTheme="majorEastAsia" w:eastAsiaTheme="majorEastAsia" w:cstheme="majorEastAsia"/>
                      <w:b w:val="0"/>
                      <w:szCs w:val="21"/>
                      <w:u w:val="single"/>
                    </w:rPr>
                    <w:t xml:space="preserve">   </w:t>
                  </w:r>
                  <w:r>
                    <w:rPr>
                      <w:rStyle w:val="5"/>
                      <w:rFonts w:hint="eastAsia" w:asciiTheme="majorEastAsia" w:hAnsiTheme="majorEastAsia" w:eastAsiaTheme="majorEastAsia" w:cstheme="majorEastAsia"/>
                      <w:b w:val="0"/>
                      <w:szCs w:val="21"/>
                    </w:rPr>
                    <w:t xml:space="preserve">晚  </w:t>
                  </w:r>
                  <w:r>
                    <w:rPr>
                      <w:rStyle w:val="5"/>
                      <w:rFonts w:hint="eastAsia" w:asciiTheme="majorEastAsia" w:hAnsiTheme="majorEastAsia" w:eastAsiaTheme="majorEastAsia" w:cstheme="majorEastAsia"/>
                      <w:b w:val="0"/>
                      <w:szCs w:val="21"/>
                      <w:u w:val="single"/>
                    </w:rPr>
                    <w:t xml:space="preserve">  </w:t>
                  </w:r>
                  <w:r>
                    <w:rPr>
                      <w:rStyle w:val="5"/>
                      <w:rFonts w:hint="eastAsia" w:asciiTheme="majorEastAsia" w:hAnsiTheme="majorEastAsia" w:eastAsiaTheme="majorEastAsia" w:cstheme="majorEastAsia"/>
                      <w:b w:val="0"/>
                      <w:szCs w:val="21"/>
                    </w:rPr>
                    <w:t>单间</w:t>
                  </w:r>
                  <w:r>
                    <w:rPr>
                      <w:rStyle w:val="5"/>
                      <w:rFonts w:hint="eastAsia" w:asciiTheme="majorEastAsia" w:hAnsiTheme="majorEastAsia" w:eastAsiaTheme="majorEastAsia" w:cstheme="majorEastAsia"/>
                      <w:b w:val="0"/>
                      <w:szCs w:val="21"/>
                      <w:u w:val="single"/>
                    </w:rPr>
                    <w:t xml:space="preserve">   </w:t>
                  </w:r>
                  <w:r>
                    <w:rPr>
                      <w:rStyle w:val="5"/>
                      <w:rFonts w:hint="eastAsia" w:asciiTheme="majorEastAsia" w:hAnsiTheme="majorEastAsia" w:eastAsiaTheme="majorEastAsia" w:cstheme="majorEastAsia"/>
                      <w:b w:val="0"/>
                      <w:szCs w:val="21"/>
                    </w:rPr>
                    <w:t>标间，预计</w:t>
                  </w:r>
                  <w:r>
                    <w:rPr>
                      <w:rStyle w:val="5"/>
                      <w:rFonts w:hint="eastAsia" w:asciiTheme="majorEastAsia" w:hAnsiTheme="majorEastAsia" w:eastAsiaTheme="majorEastAsia" w:cstheme="majorEastAsia"/>
                      <w:b w:val="0"/>
                      <w:szCs w:val="21"/>
                      <w:u w:val="single"/>
                    </w:rPr>
                    <w:t xml:space="preserve">    </w:t>
                  </w:r>
                  <w:r>
                    <w:rPr>
                      <w:rStyle w:val="5"/>
                      <w:rFonts w:hint="eastAsia" w:asciiTheme="majorEastAsia" w:hAnsiTheme="majorEastAsia" w:eastAsiaTheme="majorEastAsia" w:cstheme="majorEastAsia"/>
                      <w:b w:val="0"/>
                      <w:szCs w:val="21"/>
                    </w:rPr>
                    <w:t>日退房</w:t>
                  </w:r>
                </w:p>
              </w:tc>
            </w:tr>
          </w:tbl>
          <w:p w14:paraId="34D7B732">
            <w:pPr>
              <w:jc w:val="left"/>
              <w:rPr>
                <w:rFonts w:asciiTheme="majorEastAsia" w:hAnsiTheme="majorEastAsia" w:eastAsiaTheme="majorEastAsia" w:cstheme="majorEastAsia"/>
                <w:b/>
                <w:spacing w:val="-2"/>
                <w:kern w:val="0"/>
                <w:szCs w:val="21"/>
              </w:rPr>
            </w:pPr>
          </w:p>
        </w:tc>
      </w:tr>
    </w:tbl>
    <w:p w14:paraId="1EA09B41">
      <w:pPr>
        <w:shd w:val="clear" w:color="auto" w:fill="FFFFFF"/>
        <w:wordWrap w:val="0"/>
        <w:spacing w:line="240" w:lineRule="exact"/>
        <w:ind w:right="811" w:firstLine="138" w:firstLineChars="49"/>
        <w:rPr>
          <w:rFonts w:ascii="宋体" w:hAnsi="宋体" w:cs="宋体"/>
          <w:b/>
          <w:bCs/>
          <w:kern w:val="0"/>
          <w:sz w:val="28"/>
          <w:szCs w:val="28"/>
        </w:rPr>
      </w:pPr>
    </w:p>
    <w:p w14:paraId="7AFA25A9">
      <w:pPr>
        <w:shd w:val="clear" w:color="auto" w:fill="FFFFFF"/>
        <w:wordWrap w:val="0"/>
        <w:spacing w:line="240" w:lineRule="exact"/>
        <w:ind w:right="811" w:firstLine="138" w:firstLineChars="49"/>
        <w:rPr>
          <w:rFonts w:ascii="宋体" w:hAnsi="宋体" w:cs="宋体"/>
          <w:b/>
          <w:bCs/>
          <w:kern w:val="0"/>
          <w:sz w:val="28"/>
          <w:szCs w:val="28"/>
        </w:rPr>
      </w:pPr>
    </w:p>
    <w:p w14:paraId="4BED51E6">
      <w:pPr>
        <w:shd w:val="clear" w:color="auto" w:fill="FFFFFF"/>
        <w:wordWrap w:val="0"/>
        <w:spacing w:line="400" w:lineRule="exact"/>
        <w:ind w:right="810" w:firstLine="118" w:firstLineChars="49"/>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 xml:space="preserve">说明：  </w:t>
      </w:r>
    </w:p>
    <w:p w14:paraId="7A0DAE42">
      <w:pPr>
        <w:pStyle w:val="2"/>
        <w:spacing w:before="0" w:beforeAutospacing="0" w:after="0" w:afterAutospacing="0"/>
        <w:ind w:left="270" w:hanging="270" w:hangingChars="100"/>
        <w:rPr>
          <w:rFonts w:ascii="微软雅黑" w:hAnsi="微软雅黑" w:eastAsia="微软雅黑" w:cs="微软雅黑"/>
          <w:spacing w:val="15"/>
          <w:shd w:val="clear" w:color="auto" w:fill="FFFFFF"/>
        </w:rPr>
      </w:pPr>
      <w:r>
        <w:rPr>
          <w:rFonts w:hint="eastAsia" w:ascii="微软雅黑" w:hAnsi="微软雅黑" w:eastAsia="微软雅黑" w:cs="微软雅黑"/>
          <w:spacing w:val="15"/>
          <w:shd w:val="clear" w:color="auto" w:fill="FFFFFF"/>
        </w:rPr>
        <w:t>考察由主创设计师全程讲解，深度了解廊道焕活商脉，景观重构城境——现代公园城市建设与城市更新一体化考察</w:t>
      </w:r>
    </w:p>
    <w:p w14:paraId="753EC491">
      <w:pPr>
        <w:numPr>
          <w:ilvl w:val="0"/>
          <w:numId w:val="1"/>
        </w:numPr>
        <w:shd w:val="clear" w:color="auto" w:fill="FFFFFF"/>
        <w:wordWrap w:val="0"/>
        <w:spacing w:line="400" w:lineRule="exact"/>
        <w:ind w:right="810"/>
        <w:rPr>
          <w:rFonts w:ascii="微软雅黑" w:hAnsi="微软雅黑" w:eastAsia="微软雅黑" w:cs="微软雅黑"/>
          <w:b/>
          <w:bCs/>
          <w:kern w:val="0"/>
          <w:sz w:val="24"/>
          <w:szCs w:val="24"/>
        </w:rPr>
      </w:pPr>
      <w:r>
        <w:rPr>
          <w:rFonts w:hint="eastAsia" w:ascii="微软雅黑" w:hAnsi="微软雅黑" w:eastAsia="微软雅黑" w:cs="微软雅黑"/>
          <w:spacing w:val="15"/>
          <w:sz w:val="24"/>
          <w:szCs w:val="24"/>
          <w:shd w:val="clear" w:color="auto" w:fill="FFFFFF"/>
        </w:rPr>
        <w:t>背后的细节。</w:t>
      </w:r>
      <w:r>
        <w:rPr>
          <w:rStyle w:val="5"/>
          <w:rFonts w:hint="eastAsia" w:ascii="微软雅黑" w:hAnsi="微软雅黑" w:eastAsia="微软雅黑" w:cs="微软雅黑"/>
          <w:spacing w:val="8"/>
          <w:sz w:val="24"/>
          <w:szCs w:val="24"/>
          <w:shd w:val="clear" w:color="auto" w:fill="FFFFFF"/>
        </w:rPr>
        <w:t>​</w:t>
      </w:r>
      <w:r>
        <w:rPr>
          <w:rFonts w:hint="eastAsia" w:ascii="微软雅黑" w:hAnsi="微软雅黑" w:eastAsia="微软雅黑" w:cs="微软雅黑"/>
          <w:b/>
          <w:bCs/>
          <w:kern w:val="0"/>
          <w:sz w:val="24"/>
          <w:szCs w:val="24"/>
        </w:rPr>
        <w:t xml:space="preserve">  </w:t>
      </w:r>
    </w:p>
    <w:p w14:paraId="22C27F3E">
      <w:pPr>
        <w:numPr>
          <w:ilvl w:val="0"/>
          <w:numId w:val="1"/>
        </w:numPr>
        <w:shd w:val="clear" w:color="auto" w:fill="FFFFFF"/>
        <w:wordWrap w:val="0"/>
        <w:spacing w:line="400" w:lineRule="exact"/>
        <w:ind w:right="810"/>
        <w:rPr>
          <w:rFonts w:ascii="微软雅黑" w:hAnsi="微软雅黑" w:eastAsia="微软雅黑" w:cs="微软雅黑"/>
          <w:bCs/>
          <w:sz w:val="24"/>
          <w:szCs w:val="24"/>
        </w:rPr>
      </w:pPr>
      <w:r>
        <w:rPr>
          <w:rFonts w:hint="eastAsia" w:ascii="微软雅黑" w:hAnsi="微软雅黑" w:eastAsia="微软雅黑" w:cs="微软雅黑"/>
          <w:bCs/>
          <w:sz w:val="24"/>
          <w:szCs w:val="24"/>
        </w:rPr>
        <w:t>由于《通知》下发数量有限，请各部门协助转发；</w:t>
      </w:r>
    </w:p>
    <w:p w14:paraId="148DE2AA">
      <w:pPr>
        <w:spacing w:line="520" w:lineRule="exact"/>
        <w:rPr>
          <w:rFonts w:ascii="微软雅黑" w:hAnsi="微软雅黑" w:eastAsia="微软雅黑" w:cs="微软雅黑"/>
          <w:b/>
          <w:bCs/>
          <w:sz w:val="24"/>
          <w:szCs w:val="24"/>
        </w:rPr>
      </w:pPr>
      <w:r>
        <w:rPr>
          <w:rFonts w:hint="eastAsia" w:ascii="微软雅黑" w:hAnsi="微软雅黑" w:eastAsia="微软雅黑" w:cs="微软雅黑"/>
          <w:kern w:val="0"/>
          <w:sz w:val="24"/>
          <w:szCs w:val="24"/>
        </w:rPr>
        <w:t>3、</w:t>
      </w:r>
      <w:r>
        <w:rPr>
          <w:rFonts w:hint="eastAsia" w:ascii="微软雅黑" w:hAnsi="微软雅黑" w:eastAsia="微软雅黑" w:cs="微软雅黑"/>
          <w:bCs/>
          <w:sz w:val="24"/>
          <w:szCs w:val="24"/>
        </w:rPr>
        <w:t>如报名人员较多时此表格可复印使用，请用正楷字填写</w:t>
      </w:r>
      <w:r>
        <w:rPr>
          <w:rFonts w:hint="eastAsia" w:ascii="微软雅黑" w:hAnsi="微软雅黑" w:eastAsia="微软雅黑" w:cs="微软雅黑"/>
          <w:sz w:val="24"/>
          <w:szCs w:val="24"/>
        </w:rPr>
        <w:t xml:space="preserve"> </w:t>
      </w:r>
    </w:p>
    <w:p w14:paraId="1B68DDE9">
      <w:pPr>
        <w:spacing w:line="520" w:lineRule="exact"/>
      </w:pPr>
      <w:r>
        <w:rPr>
          <w:rFonts w:hint="eastAsia" w:ascii="微软雅黑" w:hAnsi="微软雅黑" w:eastAsia="微软雅黑" w:cs="微软雅黑"/>
          <w:bCs/>
          <w:sz w:val="24"/>
          <w:szCs w:val="24"/>
        </w:rPr>
        <w:t>4、会务组联系人：</w:t>
      </w:r>
      <w:r>
        <w:rPr>
          <w:rFonts w:hint="eastAsia" w:ascii="微软雅黑" w:hAnsi="微软雅黑" w:eastAsia="微软雅黑" w:cs="微软雅黑"/>
          <w:bCs/>
          <w:sz w:val="24"/>
          <w:szCs w:val="24"/>
          <w:lang w:val="en-US" w:eastAsia="zh-CN"/>
        </w:rPr>
        <w:t>李</w:t>
      </w:r>
      <w:r>
        <w:rPr>
          <w:rFonts w:hint="eastAsia" w:ascii="微软雅黑" w:hAnsi="微软雅黑" w:eastAsia="微软雅黑" w:cs="微软雅黑"/>
          <w:bCs/>
          <w:sz w:val="24"/>
          <w:szCs w:val="24"/>
        </w:rPr>
        <w:t>老师</w:t>
      </w:r>
      <w:r>
        <w:rPr>
          <w:rFonts w:hint="eastAsia" w:ascii="微软雅黑" w:hAnsi="微软雅黑" w:eastAsia="微软雅黑" w:cs="微软雅黑"/>
          <w:bCs/>
          <w:sz w:val="24"/>
          <w:szCs w:val="24"/>
          <w:lang w:val="en-US" w:eastAsia="zh-CN"/>
        </w:rPr>
        <w:t>133 1125 7001</w:t>
      </w:r>
      <w:r>
        <w:rPr>
          <w:rFonts w:hint="eastAsia" w:ascii="微软雅黑" w:hAnsi="微软雅黑" w:eastAsia="微软雅黑" w:cs="微软雅黑"/>
          <w:bCs/>
          <w:sz w:val="24"/>
          <w:szCs w:val="24"/>
        </w:rPr>
        <w:t>（同微信）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DEE92D"/>
    <w:multiLevelType w:val="singleLevel"/>
    <w:tmpl w:val="DADEE92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12171"/>
    <w:rsid w:val="211A5ECC"/>
    <w:rsid w:val="236E24FF"/>
    <w:rsid w:val="286D0FD7"/>
    <w:rsid w:val="2A0B0AA8"/>
    <w:rsid w:val="3AF90057"/>
    <w:rsid w:val="43E3619A"/>
    <w:rsid w:val="46C73B51"/>
    <w:rsid w:val="48F96A4A"/>
    <w:rsid w:val="4F4E4E0F"/>
    <w:rsid w:val="51AE7DE7"/>
    <w:rsid w:val="5F781A34"/>
    <w:rsid w:val="602B1DC7"/>
    <w:rsid w:val="7C354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1007</Words>
  <Characters>1070</Characters>
  <Lines>0</Lines>
  <Paragraphs>0</Paragraphs>
  <TotalTime>4</TotalTime>
  <ScaleCrop>false</ScaleCrop>
  <LinksUpToDate>false</LinksUpToDate>
  <CharactersWithSpaces>1131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2025-10-13T01:19:00Z</dcterms:created>
  <dc:creator>Administrator</dc:creator>
  <cp:lastModifiedBy>李居朴</cp:lastModifiedBy>
  <dcterms:modified xsi:type="dcterms:W3CDTF">2025-10-16T02:30:07Z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eyJoZGlkIjoiZWRmMWQ0Yjk4ODQzNjk0MTU2YzAxZjUwNDMyNTNlNjAiLCJ1c2VySWQiOiIxNTA5OTg0Nzg3In0=</vt:lpwstr>
  </property>
  <property fmtid="{D5CDD505-2E9C-101B-9397-08002B2CF9AE}" pid="4" name="ICV">
    <vt:lpwstr>F79D9599191D4B478E81C4BC9D21F8F2_12</vt:lpwstr>
  </property>
</Properties>
</file>